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0AE96">
      <w:pPr>
        <w:rPr>
          <w:rFonts w:hint="eastAsia" w:ascii="方正小标宋简体" w:hAnsi="华文中宋" w:eastAsia="方正小标宋简体"/>
          <w:bCs/>
          <w:sz w:val="22"/>
          <w:szCs w:val="36"/>
        </w:rPr>
      </w:pPr>
      <w:r>
        <w:rPr>
          <w:rFonts w:hint="eastAsia" w:ascii="方正小标宋简体" w:hAnsi="华文中宋" w:eastAsia="方正小标宋简体"/>
          <w:bCs/>
          <w:sz w:val="22"/>
          <w:szCs w:val="36"/>
        </w:rPr>
        <w:t>附件</w:t>
      </w:r>
    </w:p>
    <w:p w14:paraId="0F3682D7">
      <w:pPr>
        <w:jc w:val="center"/>
        <w:rPr>
          <w:rFonts w:hint="eastAsia" w:ascii="华文中宋" w:hAnsi="华文中宋" w:eastAsia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/>
          <w:b/>
          <w:bCs/>
          <w:sz w:val="36"/>
          <w:szCs w:val="36"/>
        </w:rPr>
        <w:t>采购技术指标及配置需求表</w:t>
      </w:r>
    </w:p>
    <w:tbl>
      <w:tblPr>
        <w:tblStyle w:val="4"/>
        <w:tblW w:w="998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6"/>
        <w:gridCol w:w="8156"/>
      </w:tblGrid>
      <w:tr w14:paraId="749002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82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63D7C">
            <w:pPr>
              <w:jc w:val="center"/>
              <w:rPr>
                <w:rFonts w:ascii="黑体" w:eastAsia="黑体"/>
                <w:kern w:val="2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</w:rPr>
              <w:t>项目名称</w:t>
            </w:r>
          </w:p>
        </w:tc>
        <w:tc>
          <w:tcPr>
            <w:tcW w:w="815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B18D8B">
            <w:pPr>
              <w:spacing w:line="312" w:lineRule="auto"/>
              <w:rPr>
                <w:rFonts w:ascii="楷体_GB2312" w:eastAsia="楷体_GB2312"/>
                <w:color w:val="FF0000"/>
                <w:sz w:val="28"/>
                <w:u w:color="000000"/>
              </w:rPr>
            </w:pPr>
            <w:r>
              <w:rPr>
                <w:rFonts w:hint="eastAsia" w:ascii="楷体_GB2312" w:eastAsia="楷体_GB2312"/>
                <w:sz w:val="28"/>
                <w:u w:color="000000"/>
              </w:rPr>
              <w:t>多病种临床样本的宏基因组与宏转录组高通量测序及内参质控服务</w:t>
            </w:r>
          </w:p>
        </w:tc>
      </w:tr>
      <w:tr w14:paraId="7B1643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7" w:hRule="atLeast"/>
          <w:jc w:val="center"/>
        </w:trPr>
        <w:tc>
          <w:tcPr>
            <w:tcW w:w="18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09EF5">
            <w:pPr>
              <w:jc w:val="center"/>
              <w:rPr>
                <w:rFonts w:ascii="黑体" w:eastAsia="黑体"/>
                <w:kern w:val="2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</w:rPr>
              <w:t>技术指标</w:t>
            </w:r>
          </w:p>
        </w:tc>
        <w:tc>
          <w:tcPr>
            <w:tcW w:w="81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0F140E04">
            <w:pPr>
              <w:spacing w:line="480" w:lineRule="exact"/>
              <w:rPr>
                <w:rFonts w:hint="eastAsia" w:ascii="仿宋_GB2312" w:eastAsia="仿宋_GB2312"/>
                <w:sz w:val="28"/>
                <w:szCs w:val="28"/>
                <w:u w:color="000000"/>
              </w:rPr>
            </w:pPr>
            <w:r>
              <w:rPr>
                <w:rFonts w:hint="eastAsia" w:ascii="仿宋_GB2312" w:eastAsia="仿宋_GB2312"/>
                <w:sz w:val="28"/>
                <w:szCs w:val="28"/>
                <w:u w:color="000000"/>
              </w:rPr>
              <w:t xml:space="preserve">1、样本运输要求：每周固定时间自对应医院取样，全程使用干冰运输，保持样本冷冻状态。收到样后需立刻至于超低温冰箱保存，且在12小时内进行编号核对，并及时与我方反馈。 </w:t>
            </w:r>
          </w:p>
          <w:p w14:paraId="0F6A77C3">
            <w:pPr>
              <w:spacing w:line="480" w:lineRule="exact"/>
              <w:rPr>
                <w:rFonts w:hint="eastAsia" w:ascii="仿宋_GB2312" w:eastAsia="仿宋_GB2312"/>
                <w:sz w:val="28"/>
                <w:szCs w:val="28"/>
                <w:u w:color="000000"/>
              </w:rPr>
            </w:pPr>
            <w:r>
              <w:rPr>
                <w:rFonts w:hint="eastAsia" w:ascii="仿宋_GB2312" w:eastAsia="仿宋_GB2312"/>
                <w:sz w:val="28"/>
                <w:szCs w:val="28"/>
                <w:u w:color="000000"/>
              </w:rPr>
              <w:t xml:space="preserve">2、到样后按特定要求进行样本处理，然后进行DNA/RNA共提取，后续核酸质量控制及共建库操作。对于不合格样本，若提取后核酸质量不符合后续建库要求，或建库浓度不符合测序上机要求，须在24小时内启动重复实验。若重复实验结果仍不合格，须在48小时内出具不合格报告并附全部实验数据，供我方决策是否继续或替换样本。若选择不继续，不予支付该样本实验费用。 </w:t>
            </w:r>
          </w:p>
          <w:p w14:paraId="0281322F">
            <w:pPr>
              <w:spacing w:line="480" w:lineRule="exact"/>
              <w:rPr>
                <w:rFonts w:hint="eastAsia" w:ascii="仿宋_GB2312" w:eastAsia="仿宋_GB2312"/>
                <w:sz w:val="28"/>
                <w:szCs w:val="28"/>
                <w:u w:color="000000"/>
              </w:rPr>
            </w:pPr>
            <w:r>
              <w:rPr>
                <w:rFonts w:hint="eastAsia" w:ascii="仿宋_GB2312" w:eastAsia="仿宋_GB2312"/>
                <w:sz w:val="28"/>
                <w:szCs w:val="28"/>
                <w:u w:color="000000"/>
              </w:rPr>
              <w:t xml:space="preserve">3、采用二代高通量测序平台进行文库测序，要求平均Q30≥90%，每个文库产出的数据≥20 Gbp Rawdata。若下机数据量不够，需进行文库重测直至达到我方要求。额外成本由测序方自行承担。每批次测序运行须包含至少1个本批次建库的阴性对照及空白对照，用于监控测序稳定性。 </w:t>
            </w:r>
          </w:p>
          <w:p w14:paraId="316EED59">
            <w:pPr>
              <w:spacing w:line="480" w:lineRule="exact"/>
              <w:rPr>
                <w:rFonts w:hint="eastAsia" w:ascii="仿宋_GB2312" w:eastAsia="仿宋_GB2312"/>
                <w:sz w:val="28"/>
                <w:szCs w:val="28"/>
                <w:u w:color="000000"/>
              </w:rPr>
            </w:pPr>
            <w:r>
              <w:rPr>
                <w:rFonts w:hint="eastAsia" w:ascii="仿宋_GB2312" w:eastAsia="仿宋_GB2312"/>
                <w:sz w:val="28"/>
                <w:szCs w:val="28"/>
                <w:u w:color="000000"/>
              </w:rPr>
              <w:t xml:space="preserve">4、每例样本的处理时间，试剂盒货号/批号信息，核酸浓度、文库浓度、文库长度、测序状态等实验数据，需准确记录并及时反馈。需按照要求分批次处理样本，并严格通过邮件形式反馈批次样本处理进度。 </w:t>
            </w:r>
          </w:p>
          <w:p w14:paraId="079432A0">
            <w:pPr>
              <w:spacing w:line="480" w:lineRule="exact"/>
              <w:rPr>
                <w:rFonts w:hint="eastAsia" w:ascii="仿宋_GB2312" w:eastAsia="仿宋_GB2312"/>
                <w:sz w:val="28"/>
                <w:szCs w:val="28"/>
                <w:u w:color="000000"/>
              </w:rPr>
            </w:pPr>
            <w:r>
              <w:rPr>
                <w:rFonts w:hint="eastAsia" w:ascii="仿宋_GB2312" w:eastAsia="仿宋_GB2312"/>
                <w:sz w:val="28"/>
                <w:szCs w:val="28"/>
                <w:u w:color="000000"/>
              </w:rPr>
              <w:t>5、自收到样品至数据释放，周期不超过3周。测序数据文件格式为fastq文件，名称严格按照要求命名。需支持硬盘，网盘等形式进行数据返还。返还前后需保证数据完整性。可接受加急样本。从接收样本到拿到数据可以在13个自然日完成。</w:t>
            </w:r>
          </w:p>
          <w:p w14:paraId="5B66CC96">
            <w:pPr>
              <w:spacing w:line="480" w:lineRule="exact"/>
              <w:rPr>
                <w:rFonts w:hint="eastAsia" w:ascii="仿宋_GB2312" w:eastAsia="仿宋_GB2312"/>
                <w:sz w:val="28"/>
                <w:szCs w:val="28"/>
                <w:u w:color="000000"/>
              </w:rPr>
            </w:pPr>
            <w:r>
              <w:rPr>
                <w:rFonts w:hint="eastAsia" w:ascii="仿宋_GB2312" w:eastAsia="仿宋_GB2312"/>
                <w:sz w:val="28"/>
                <w:szCs w:val="28"/>
                <w:u w:color="000000"/>
              </w:rPr>
              <w:t xml:space="preserve">6、供货商具备大数据存储能力，数据有效存储期限不低于6个月。 </w:t>
            </w:r>
          </w:p>
          <w:p w14:paraId="22719964">
            <w:pPr>
              <w:spacing w:line="480" w:lineRule="exact"/>
              <w:rPr>
                <w:rFonts w:ascii="仿宋_GB2312" w:eastAsia="仿宋_GB2312"/>
                <w:b/>
                <w:bCs/>
                <w:color w:val="FF0000"/>
                <w:sz w:val="28"/>
                <w:szCs w:val="28"/>
                <w:u w:color="000000"/>
              </w:rPr>
            </w:pPr>
            <w:r>
              <w:rPr>
                <w:rFonts w:hint="eastAsia" w:ascii="仿宋_GB2312" w:eastAsia="仿宋_GB2312"/>
                <w:sz w:val="28"/>
                <w:szCs w:val="28"/>
                <w:u w:color="000000"/>
              </w:rPr>
              <w:t>7、其他要求：北京市行政区域内设有实验室，具备有效的ISO9001（GB/T 19001）质量管理体系认证证书，并承诺提供7×24小时技术支持服务，自接通知之时起2小时内抵达现场处置。</w:t>
            </w:r>
          </w:p>
        </w:tc>
      </w:tr>
      <w:tr w14:paraId="27B0B4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2" w:hRule="atLeast"/>
          <w:jc w:val="center"/>
        </w:trPr>
        <w:tc>
          <w:tcPr>
            <w:tcW w:w="18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8477C">
            <w:pPr>
              <w:jc w:val="center"/>
              <w:rPr>
                <w:rFonts w:ascii="黑体" w:eastAsia="黑体"/>
                <w:kern w:val="2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</w:rPr>
              <w:t>服务明细</w:t>
            </w:r>
          </w:p>
        </w:tc>
        <w:tc>
          <w:tcPr>
            <w:tcW w:w="81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57C8BBB9">
            <w:pPr>
              <w:spacing w:line="480" w:lineRule="exact"/>
              <w:rPr>
                <w:rFonts w:ascii="仿宋_GB2312" w:eastAsia="仿宋_GB2312"/>
                <w:sz w:val="28"/>
                <w:szCs w:val="28"/>
                <w:u w:color="000000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sz w:val="28"/>
                <w:szCs w:val="28"/>
                <w:u w:color="000000"/>
              </w:rPr>
              <w:t>1、样本运输要求：每周固定时间前往对应医院取样，全程使用干冰运输，保持样本冷冻状态。</w:t>
            </w:r>
          </w:p>
          <w:p w14:paraId="4AD67EAD">
            <w:pPr>
              <w:spacing w:line="480" w:lineRule="exact"/>
              <w:rPr>
                <w:rFonts w:ascii="仿宋_GB2312" w:eastAsia="仿宋_GB2312"/>
                <w:sz w:val="28"/>
                <w:szCs w:val="28"/>
                <w:u w:color="000000"/>
              </w:rPr>
            </w:pPr>
            <w:r>
              <w:rPr>
                <w:rFonts w:hint="eastAsia" w:ascii="仿宋_GB2312" w:eastAsia="仿宋_GB2312"/>
                <w:sz w:val="28"/>
                <w:szCs w:val="28"/>
                <w:u w:color="000000"/>
              </w:rPr>
              <w:t>2、到样后按给定要求进行样本处理，然后进行DNA/RNA共提取，后续核酸质量控制及共建库操作。</w:t>
            </w:r>
          </w:p>
          <w:p w14:paraId="21C67DDA">
            <w:pPr>
              <w:spacing w:line="480" w:lineRule="exact"/>
              <w:rPr>
                <w:rFonts w:ascii="仿宋_GB2312" w:eastAsia="仿宋_GB2312"/>
                <w:sz w:val="28"/>
                <w:szCs w:val="28"/>
                <w:u w:color="000000"/>
              </w:rPr>
            </w:pPr>
            <w:r>
              <w:rPr>
                <w:rFonts w:hint="eastAsia" w:ascii="仿宋_GB2312" w:eastAsia="仿宋_GB2312"/>
                <w:sz w:val="28"/>
                <w:szCs w:val="28"/>
                <w:u w:color="000000"/>
              </w:rPr>
              <w:t>2、采用二代高通量测序平台进行文库测序，要求平均Q30≥90%，每个文库产出的数据≥20 Gbp Rawdata。</w:t>
            </w:r>
          </w:p>
          <w:p w14:paraId="56D6E737">
            <w:pPr>
              <w:spacing w:line="480" w:lineRule="exact"/>
              <w:rPr>
                <w:rFonts w:ascii="仿宋_GB2312" w:eastAsia="仿宋_GB2312"/>
                <w:sz w:val="28"/>
                <w:szCs w:val="28"/>
                <w:u w:color="000000"/>
              </w:rPr>
            </w:pPr>
            <w:r>
              <w:rPr>
                <w:rFonts w:hint="eastAsia" w:ascii="仿宋_GB2312" w:eastAsia="仿宋_GB2312"/>
                <w:sz w:val="28"/>
                <w:szCs w:val="28"/>
                <w:u w:color="000000"/>
              </w:rPr>
              <w:t>3、每例样本的处理时间，试剂盒货号/批号信息，核酸浓度、文库浓度、文库长度、测序状态等实验数据，需准确记录并及时反馈。</w:t>
            </w:r>
          </w:p>
          <w:p w14:paraId="0D710CB7">
            <w:pPr>
              <w:spacing w:line="480" w:lineRule="exact"/>
              <w:rPr>
                <w:rFonts w:ascii="仿宋_GB2312" w:eastAsia="仿宋_GB2312"/>
                <w:sz w:val="28"/>
                <w:szCs w:val="28"/>
                <w:u w:color="000000"/>
              </w:rPr>
            </w:pPr>
            <w:r>
              <w:rPr>
                <w:rFonts w:hint="eastAsia" w:ascii="仿宋_GB2312" w:eastAsia="仿宋_GB2312"/>
                <w:sz w:val="28"/>
                <w:szCs w:val="28"/>
                <w:u w:color="000000"/>
              </w:rPr>
              <w:t>3、自收到样品至数据释放，周期不超过3周。</w:t>
            </w:r>
          </w:p>
          <w:p w14:paraId="450172E4">
            <w:pPr>
              <w:spacing w:line="312" w:lineRule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u w:color="000000"/>
              </w:rPr>
              <w:t>4、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供货商具备大数据存储能力，数据有效存储期限不低于6个月。</w:t>
            </w:r>
          </w:p>
          <w:p w14:paraId="3FA13D12">
            <w:pPr>
              <w:spacing w:line="0" w:lineRule="atLeast"/>
              <w:jc w:val="both"/>
              <w:rPr>
                <w:rFonts w:ascii="仿宋_GB2312" w:eastAsia="仿宋_GB2312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5、</w:t>
            </w:r>
            <w:r>
              <w:rPr>
                <w:rFonts w:ascii="仿宋_GB2312" w:hAnsi="宋体" w:eastAsia="仿宋_GB2312"/>
                <w:sz w:val="28"/>
                <w:szCs w:val="28"/>
              </w:rPr>
              <w:t>需支持硬盘，网盘等形式进行数据返还。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。</w:t>
            </w:r>
          </w:p>
        </w:tc>
      </w:tr>
      <w:tr w14:paraId="758C97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82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FD1DFB">
            <w:pPr>
              <w:jc w:val="center"/>
              <w:rPr>
                <w:rFonts w:ascii="黑体" w:eastAsia="黑体"/>
                <w:kern w:val="2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</w:rPr>
              <w:t>备注</w:t>
            </w:r>
          </w:p>
        </w:tc>
        <w:tc>
          <w:tcPr>
            <w:tcW w:w="815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14:paraId="43B0ED4E">
            <w:pPr>
              <w:spacing w:line="312" w:lineRule="auto"/>
              <w:rPr>
                <w:rFonts w:ascii="仿宋_GB2312" w:eastAsia="仿宋_GB2312"/>
                <w:b/>
                <w:bCs/>
                <w:color w:val="FF0000"/>
                <w:sz w:val="24"/>
                <w:szCs w:val="28"/>
                <w:u w:color="000000"/>
              </w:rPr>
            </w:pPr>
          </w:p>
        </w:tc>
      </w:tr>
    </w:tbl>
    <w:p w14:paraId="2DA66AC8">
      <w:pPr>
        <w:spacing w:before="156" w:beforeLines="50"/>
        <w:rPr>
          <w:rFonts w:ascii="Times New Roman" w:eastAsia="楷体_GB2312"/>
          <w:kern w:val="2"/>
          <w:sz w:val="28"/>
        </w:rPr>
      </w:pPr>
      <w:r>
        <w:rPr>
          <w:rFonts w:hint="eastAsia" w:ascii="仿宋_GB2312" w:eastAsia="仿宋_GB2312"/>
          <w:b/>
        </w:rPr>
        <w:t xml:space="preserve">                                 </w:t>
      </w:r>
    </w:p>
    <w:p w14:paraId="645B3FD0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DCC"/>
    <w:rsid w:val="000C0F85"/>
    <w:rsid w:val="00103409"/>
    <w:rsid w:val="00225416"/>
    <w:rsid w:val="00235B98"/>
    <w:rsid w:val="00301A66"/>
    <w:rsid w:val="003E6B55"/>
    <w:rsid w:val="00420EF0"/>
    <w:rsid w:val="004D4DCC"/>
    <w:rsid w:val="00577E7B"/>
    <w:rsid w:val="00606487"/>
    <w:rsid w:val="00616B95"/>
    <w:rsid w:val="00741428"/>
    <w:rsid w:val="007576D8"/>
    <w:rsid w:val="008C009F"/>
    <w:rsid w:val="00A20629"/>
    <w:rsid w:val="00A31085"/>
    <w:rsid w:val="00A32EB0"/>
    <w:rsid w:val="00A344E6"/>
    <w:rsid w:val="00B82472"/>
    <w:rsid w:val="00BD755C"/>
    <w:rsid w:val="00CA1E53"/>
    <w:rsid w:val="00CE4B5B"/>
    <w:rsid w:val="00CE4C40"/>
    <w:rsid w:val="00DC255D"/>
    <w:rsid w:val="00E75B26"/>
    <w:rsid w:val="00EC3295"/>
    <w:rsid w:val="00EF6195"/>
    <w:rsid w:val="00F20D32"/>
    <w:rsid w:val="00FA5055"/>
    <w:rsid w:val="00FC097E"/>
    <w:rsid w:val="05F44E0B"/>
    <w:rsid w:val="11DD23BA"/>
    <w:rsid w:val="4B8D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1115</Words>
  <Characters>1180</Characters>
  <Lines>81</Lines>
  <Paragraphs>96</Paragraphs>
  <TotalTime>85</TotalTime>
  <ScaleCrop>false</ScaleCrop>
  <LinksUpToDate>false</LinksUpToDate>
  <CharactersWithSpaces>1228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2024-03-19T01:49:00Z</dcterms:created>
  <dc:creator>Windows 用户</dc:creator>
  <cp:lastModifiedBy>晨晨墨染¹⁴¹³¹⁹</cp:lastModifiedBy>
  <dcterms:modified xsi:type="dcterms:W3CDTF">2026-08-24T02:06:15Z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eyJoZGlkIjoiNjY0MzgyYmNiMTQyMjMyMmFiODg4MWM2ODhmYTFiNDIiLCJ1c2VySWQiOiI0NDY1ODc3NDAifQ==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8E15E74D58414FEBA02969988D5BC830_13</vt:lpwstr>
  </property>
</Properties>
</file>