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0AE96">
      <w:pPr>
        <w:rPr>
          <w:rFonts w:hint="eastAsia" w:ascii="方正小标宋简体" w:hAnsi="华文中宋" w:eastAsia="方正小标宋简体"/>
          <w:bCs/>
          <w:sz w:val="22"/>
          <w:szCs w:val="36"/>
        </w:rPr>
      </w:pPr>
      <w:r>
        <w:rPr>
          <w:rFonts w:hint="eastAsia" w:ascii="方正小标宋简体" w:hAnsi="华文中宋" w:eastAsia="方正小标宋简体"/>
          <w:bCs/>
          <w:sz w:val="22"/>
          <w:szCs w:val="36"/>
        </w:rPr>
        <w:t>附件</w:t>
      </w:r>
    </w:p>
    <w:p w14:paraId="0F3682D7">
      <w:pPr>
        <w:jc w:val="center"/>
        <w:rPr>
          <w:rFonts w:hint="eastAsia" w:ascii="华文中宋" w:hAnsi="华文中宋" w:eastAsia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/>
          <w:b/>
          <w:bCs/>
          <w:sz w:val="36"/>
          <w:szCs w:val="36"/>
        </w:rPr>
        <w:t>采购技术指标及配置需求表</w:t>
      </w:r>
    </w:p>
    <w:tbl>
      <w:tblPr>
        <w:tblStyle w:val="4"/>
        <w:tblW w:w="99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8156"/>
      </w:tblGrid>
      <w:tr w14:paraId="749002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82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463D7C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项目名称</w:t>
            </w:r>
          </w:p>
        </w:tc>
        <w:tc>
          <w:tcPr>
            <w:tcW w:w="815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B18D8B">
            <w:pPr>
              <w:spacing w:line="480" w:lineRule="exact"/>
              <w:rPr>
                <w:rFonts w:ascii="仿宋_GB2312" w:hAnsi="仿宋_GB2312" w:eastAsia="仿宋_GB2312" w:cs="仿宋_GB2312"/>
                <w:b/>
                <w:bCs/>
                <w:sz w:val="28"/>
                <w:u w:color="000000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u w:color="000000"/>
              </w:rPr>
              <w:t>基于咽拭子样本的DNA-RNA共提取与高通量共建库测序及多组学联合分析服务</w:t>
            </w:r>
            <w:bookmarkEnd w:id="0"/>
          </w:p>
        </w:tc>
      </w:tr>
      <w:tr w14:paraId="7B1643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1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C09EF5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技术指标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659F0860">
            <w:pPr>
              <w:spacing w:line="312" w:lineRule="auto"/>
              <w:rPr>
                <w:rFonts w:hint="eastAsia" w:ascii="仿宋_GB2312" w:hAnsi="宋体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该技术服务指标、内容及要求用于网上商城询价时供应商参考投标使用，内容较多时可用附件形式填报</w:t>
            </w:r>
          </w:p>
          <w:p w14:paraId="1B3EA54A">
            <w:pPr>
              <w:spacing w:line="480" w:lineRule="exact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u w:color="000000"/>
              </w:rPr>
              <w:t>1、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检测目标与适用范围：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在同一前处理及检测流程内同步完成咽拭子病原微生物DNA型与RNA型病原体的识别与鉴定。要求供应商提供共提取-共建库-测序-分析一体化方案，实现“一份样本、双重核酸、同步检出”的核心目标。</w:t>
            </w:r>
          </w:p>
          <w:p w14:paraId="72B5A3E8">
            <w:pPr>
              <w:spacing w:line="480" w:lineRule="exact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u w:color="000000"/>
              </w:rPr>
              <w:t>2、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样本保存与转运管理：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样本送达后，供应商应在样本尚未发生融冻的状态下，即刻将其转移至-80°C超低温冰箱中进行保存，杜绝因反复冻融导致的核酸降解与完整性损失。</w:t>
            </w:r>
          </w:p>
          <w:p w14:paraId="2A8C8625">
            <w:pPr>
              <w:spacing w:line="480" w:lineRule="exact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u w:color="000000"/>
              </w:rPr>
              <w:t>3、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核酸提取：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采用基于磁珠分离原理的病原微生物DNA/RNA共提取试剂盒，对口咽拭子保存液样本开展DNA与RNA的共提取。提取产物须经多维质控手段完成综合评价，核酸质控合格标准包括：核酸总产出量≥ 100 ng，纯度（A260/A280）为1.5 ≤ 比值 ≤ 2.2，基因组主带分子量≥ 10 kb，片段主带清晰、完整性强，无明显降解弥散带。</w:t>
            </w:r>
          </w:p>
          <w:p w14:paraId="06AF897E">
            <w:pPr>
              <w:spacing w:line="480" w:lineRule="exact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u w:color="000000"/>
              </w:rPr>
              <w:t>4、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文库构建：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选用病原微生物mNGS专用建库试剂体系，对上述质控合格的核酸样本执行DNA与RNA的一体化共建库操作。建库流程须涵盖片段化、接头连接、反转录（RNA部分）、扩增富集等关键步骤。文库质控合格标准如下：浓度≥ 8 ng/μL</w:t>
            </w:r>
            <w:r>
              <w:rPr>
                <w:rStyle w:val="6"/>
                <w:rFonts w:hint="eastAsia" w:ascii="仿宋_GB2312" w:hAnsi="仿宋_GB2312" w:eastAsia="仿宋_GB2312" w:cs="仿宋_GB2312"/>
                <w:sz w:val="20"/>
                <w:szCs w:val="20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总量≥ 100 ng，插入片段主峰350bp，无明显非特异大片段污染。</w:t>
            </w:r>
          </w:p>
          <w:p w14:paraId="7BB93C89">
            <w:pPr>
              <w:spacing w:line="480" w:lineRule="exac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u w:color="000000"/>
              </w:rPr>
              <w:t>5、</w:t>
            </w:r>
            <w:r>
              <w:rPr>
                <w:rFonts w:ascii="仿宋_GB2312" w:hAnsi="宋体" w:eastAsia="仿宋_GB2312"/>
                <w:bCs/>
                <w:sz w:val="28"/>
                <w:szCs w:val="28"/>
              </w:rPr>
              <w:t>高深度测序：依托MGI高通量测序平台实施二代测序（NGS）策略，对共建库产物进行高深度测序。各项测序产出指标须满足：单文库有效数据产出量≥ 16 Gbp，测序碱基质量值 Q30 比例≥ 90%，实际总数据产出率≥ 约定总量的 90%。</w:t>
            </w:r>
          </w:p>
          <w:p w14:paraId="3A8CAD5D">
            <w:pPr>
              <w:spacing w:line="480" w:lineRule="exac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6、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多组学联合分析：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在完成高通量测序数据产出的基础上，供应商须提供宏基因组分析服务，标准分析流程须包含：原始数据质控（接头去除、低质量reads过滤、宿主序列去除）、de novo组装、参考基因组比对、物种注释及功能注释等完整步骤。具体用到的分析软件至少包含KneadData、FastQC、Trimmomatic、Bowtie2、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bidi="ar"/>
              </w:rPr>
              <w:t>MEGAHIT、Prokka、Salmon 、BLAST、eggnog-mapper、dbCAN2、 RGI等主流软件，用到的数据库至少包含KEGG、eggNOG、CAZy及 CARD等代谢功能数据库。</w:t>
            </w:r>
          </w:p>
          <w:p w14:paraId="2B676D85">
            <w:pPr>
              <w:spacing w:before="60" w:after="60" w:line="480" w:lineRule="exact"/>
              <w:jc w:val="both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7、样本规模：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本项目计划纳入咽拭子样本共计450例。供应商须按上述技术要求逐例完成核酸共提取、共建库、测序及多组学联合分析全流程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。</w:t>
            </w:r>
          </w:p>
          <w:p w14:paraId="39E14834">
            <w:pPr>
              <w:spacing w:line="48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8、项目交付周期：自收到样品至分析报告释放，周期不超过4周。</w:t>
            </w:r>
          </w:p>
          <w:p w14:paraId="129BD846">
            <w:pPr>
              <w:spacing w:line="48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9、数据存储：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供货商具备大数据存储能力，数据有效存储期限不低于8个月。</w:t>
            </w:r>
          </w:p>
          <w:p w14:paraId="7FC49FB0">
            <w:pPr>
              <w:spacing w:line="48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10、数据交付：数据释放方式为云盘释放，便于上传至服务器，测序数据为fastq格式，云盘保存期限大于三周。</w:t>
            </w:r>
          </w:p>
          <w:p w14:paraId="352F0DDC">
            <w:pPr>
              <w:spacing w:before="60" w:after="60" w:line="48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11、项目验收与报告要求：项目结束后提供结题报告中要包含上述指标，并在服务周期中形成实时表格进行记录。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确保各环节技术指标可追溯、可核查。结题报告须经采购方审核确认后方可视为项目验收通过。</w:t>
            </w:r>
          </w:p>
          <w:p w14:paraId="22719964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</w:p>
        </w:tc>
      </w:tr>
      <w:tr w14:paraId="27B0B4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3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18477C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服务明细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14:paraId="5E7B2534">
            <w:pPr>
              <w:spacing w:line="312" w:lineRule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内容较多时可用附件形式填报</w:t>
            </w:r>
          </w:p>
          <w:p w14:paraId="5EA007ED">
            <w:pPr>
              <w:spacing w:line="480" w:lineRule="exact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u w:color="000000"/>
              </w:rPr>
              <w:t>1、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样本保存与转运管理：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样本送达后，供应商应在样本尚未发生融冻的状态下，即刻将其转移至-80°C超低温冰箱中进行保存.</w:t>
            </w:r>
          </w:p>
          <w:p w14:paraId="6DDE7E2A">
            <w:pPr>
              <w:spacing w:line="480" w:lineRule="exact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u w:color="000000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采用基于磁珠分离原理的病原微生物DNA/RNA共提取试剂盒，对口咽拭子保存液样本开展DNA与RNA的共提取。提取产物须经多维质控手段完成综合评价，核酸质控合格标准包括：核酸总产出量≥ 100 ng，纯度（A260/A280）为1.5 ≤ 比值 ≤ 2.2，基因组主带分子量≥ 10 kb，片段主带清晰、完整性强，无明显降解弥散带。</w:t>
            </w:r>
          </w:p>
          <w:p w14:paraId="1AF113CF">
            <w:pPr>
              <w:spacing w:line="4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u w:color="000000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对上述质控合格的核酸样本执行DNA与RNA的一体化共建库操作。文库质控合格标准如下：浓度≥ 8 ng/μL</w:t>
            </w:r>
            <w:r>
              <w:rPr>
                <w:rStyle w:val="6"/>
                <w:rFonts w:hint="eastAsia" w:ascii="仿宋_GB2312" w:hAnsi="仿宋_GB2312" w:eastAsia="仿宋_GB2312" w:cs="仿宋_GB2312"/>
                <w:sz w:val="20"/>
                <w:szCs w:val="20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总量≥ 100 ng，插入片段主峰350bp，无明显非特异大片段污染。</w:t>
            </w:r>
          </w:p>
          <w:p w14:paraId="36A2ED99">
            <w:pPr>
              <w:spacing w:line="480" w:lineRule="exac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u w:color="000000"/>
              </w:rPr>
              <w:t>4、</w:t>
            </w:r>
            <w:r>
              <w:rPr>
                <w:rFonts w:ascii="仿宋_GB2312" w:hAnsi="宋体" w:eastAsia="仿宋_GB2312"/>
                <w:bCs/>
                <w:sz w:val="28"/>
                <w:szCs w:val="28"/>
              </w:rPr>
              <w:t>对共建库产物进行高深度测序。</w:t>
            </w: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要求</w:t>
            </w:r>
            <w:r>
              <w:rPr>
                <w:rFonts w:ascii="仿宋_GB2312" w:hAnsi="宋体" w:eastAsia="仿宋_GB2312"/>
                <w:bCs/>
                <w:sz w:val="28"/>
                <w:szCs w:val="28"/>
              </w:rPr>
              <w:t>单文库有效数据产出量≥ 16 Gbp，测序碱基质量值 Q30 比例≥ 90%，实际总数据产出率≥ 约定总量的 90%。</w:t>
            </w:r>
          </w:p>
          <w:p w14:paraId="2381D688">
            <w:pPr>
              <w:spacing w:line="480" w:lineRule="exact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5、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多组学联合分析：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在完成高通量测序数据产出的基础上，供应商须提供宏基因组分析服务，标准分析流程须包含：原始数据质控（接头去除、低质量reads过滤、宿主序列去除）、de novo组装、参考基因组比对、物种注释及功能注释等完整步骤。</w:t>
            </w:r>
          </w:p>
          <w:p w14:paraId="1A8242D0">
            <w:pPr>
              <w:spacing w:before="60" w:after="60" w:line="480" w:lineRule="exact"/>
              <w:jc w:val="both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hAnsi="宋体" w:eastAsia="仿宋_GB2312"/>
                <w:bCs/>
                <w:sz w:val="28"/>
                <w:szCs w:val="28"/>
              </w:rPr>
              <w:t>6、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本项目计划纳入咽拭子样本共计450例。供应商须按上述技术要求逐例完成核酸共提取、共建库、测序及多组学联合分析全流程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。</w:t>
            </w:r>
          </w:p>
          <w:p w14:paraId="1922B44E">
            <w:pPr>
              <w:spacing w:before="60" w:after="60" w:line="480" w:lineRule="exact"/>
              <w:jc w:val="both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7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、自收到样品至分析报告释放，周期不超过4周。</w:t>
            </w:r>
          </w:p>
          <w:p w14:paraId="636BC9AF">
            <w:pPr>
              <w:spacing w:line="48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color="000000"/>
              </w:rPr>
              <w:t>8、数据存储：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供货商具备大数据存储能力，数据有效存储期限不低于8个月。</w:t>
            </w:r>
          </w:p>
          <w:p w14:paraId="39252500">
            <w:pPr>
              <w:spacing w:line="48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9、数据交付：数据释放方式为云盘释放，便于上传至服务器，测序数据为fastq格式，云盘保存期限大于三周。</w:t>
            </w:r>
          </w:p>
          <w:p w14:paraId="3FA13D12">
            <w:pPr>
              <w:spacing w:before="60" w:after="60" w:line="480" w:lineRule="exact"/>
              <w:jc w:val="both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10、项目验收与报告要求：项目结束后提供结题报告中要包含上述指标，并在服务周期中形成实时表格进行记录。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确保各环节技术指标可追溯、可核查。结题报告须经采购方审核确认后方可视为项目验收通过。</w:t>
            </w:r>
          </w:p>
        </w:tc>
      </w:tr>
      <w:tr w14:paraId="758C9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82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0FD1DFB">
            <w:pPr>
              <w:jc w:val="center"/>
              <w:rPr>
                <w:rFonts w:ascii="黑体" w:eastAsia="黑体"/>
                <w:kern w:val="2"/>
                <w:sz w:val="24"/>
                <w:szCs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  <w:tc>
          <w:tcPr>
            <w:tcW w:w="815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</w:tcPr>
          <w:p w14:paraId="43B0ED4E">
            <w:pPr>
              <w:spacing w:line="312" w:lineRule="auto"/>
              <w:rPr>
                <w:rFonts w:ascii="仿宋_GB2312" w:eastAsia="仿宋_GB2312"/>
                <w:b/>
                <w:bCs/>
                <w:color w:val="FF0000"/>
                <w:sz w:val="24"/>
                <w:szCs w:val="28"/>
                <w:u w:color="000000"/>
              </w:rPr>
            </w:pPr>
          </w:p>
        </w:tc>
      </w:tr>
    </w:tbl>
    <w:p w14:paraId="2DA66AC8">
      <w:pPr>
        <w:spacing w:before="156" w:beforeLines="50"/>
        <w:ind w:left="-384" w:leftChars="-192" w:firstLine="801" w:firstLineChars="399"/>
        <w:rPr>
          <w:rFonts w:ascii="Times New Roman" w:eastAsia="楷体_GB2312"/>
          <w:kern w:val="2"/>
          <w:sz w:val="28"/>
        </w:rPr>
      </w:pPr>
      <w:r>
        <w:rPr>
          <w:rFonts w:hint="eastAsia" w:ascii="仿宋_GB2312" w:eastAsia="仿宋_GB2312"/>
          <w:b/>
        </w:rPr>
        <w:t xml:space="preserve">                             </w:t>
      </w:r>
    </w:p>
    <w:p w14:paraId="645B3FD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DCC"/>
    <w:rsid w:val="0004159F"/>
    <w:rsid w:val="000C0F85"/>
    <w:rsid w:val="001506D3"/>
    <w:rsid w:val="001740BC"/>
    <w:rsid w:val="00225416"/>
    <w:rsid w:val="00235B98"/>
    <w:rsid w:val="002D4480"/>
    <w:rsid w:val="002E5C6E"/>
    <w:rsid w:val="00420EF0"/>
    <w:rsid w:val="004D4DCC"/>
    <w:rsid w:val="004E6997"/>
    <w:rsid w:val="005739ED"/>
    <w:rsid w:val="00577E7B"/>
    <w:rsid w:val="00606487"/>
    <w:rsid w:val="00616B95"/>
    <w:rsid w:val="006B7B60"/>
    <w:rsid w:val="00741756"/>
    <w:rsid w:val="009C7167"/>
    <w:rsid w:val="00A344E6"/>
    <w:rsid w:val="00A97918"/>
    <w:rsid w:val="00BD755C"/>
    <w:rsid w:val="00BF7BFF"/>
    <w:rsid w:val="00C32DF6"/>
    <w:rsid w:val="00CA1E53"/>
    <w:rsid w:val="00CE4B5B"/>
    <w:rsid w:val="00CE758C"/>
    <w:rsid w:val="00DC255D"/>
    <w:rsid w:val="00E75B26"/>
    <w:rsid w:val="00EC3295"/>
    <w:rsid w:val="00ED1DD3"/>
    <w:rsid w:val="00F76926"/>
    <w:rsid w:val="00FA5055"/>
    <w:rsid w:val="00FC097E"/>
    <w:rsid w:val="03E21361"/>
    <w:rsid w:val="3108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kern w:val="0"/>
      <w:sz w:val="20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styleId="6">
    <w:name w:val="annotation reference"/>
    <w:basedOn w:val="5"/>
    <w:semiHidden/>
    <w:unhideWhenUsed/>
    <w:qFormat/>
    <w:uiPriority w:val="99"/>
    <w:rPr>
      <w:sz w:val="21"/>
      <w:szCs w:val="21"/>
    </w:r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1854</Words>
  <Characters>2100</Characters>
  <Lines>37</Lines>
  <Paragraphs>22</Paragraphs>
  <TotalTime>74</TotalTime>
  <ScaleCrop>false</ScaleCrop>
  <LinksUpToDate>false</LinksUpToDate>
  <CharactersWithSpaces>2178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2024-03-19T01:49:00Z</dcterms:created>
  <dc:creator>Windows 用户</dc:creator>
  <cp:lastModifiedBy>晨晨墨染¹⁴¹³¹⁹</cp:lastModifiedBy>
  <dcterms:modified xsi:type="dcterms:W3CDTF">2026-10-12T01:13:15Z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6491681E92B24E2AAB6956B3F0B1430E_13</vt:lpwstr>
  </property>
  <property fmtid="{D5CDD505-2E9C-101B-9397-08002B2CF9AE}" pid="4" name="KSOTemplateDocerSaveRecord">
    <vt:lpwstr>eyJoZGlkIjoiNjY0MzgyYmNiMTQyMjMyMmFiODg4MWM2ODhmYTFiNDIiLCJ1c2VySWQiOiI0NDY1ODc3NDAifQ==</vt:lpwstr>
  </property>
</Properties>
</file>