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3B65E6">
      <w:pPr>
        <w:pStyle w:val="5"/>
        <w:jc w:val="center"/>
        <w:rPr>
          <w:rFonts w:ascii="宋体" w:hAnsi="宋体" w:eastAsia="宋体"/>
          <w:sz w:val="48"/>
          <w:szCs w:val="48"/>
        </w:rPr>
      </w:pPr>
      <w:r>
        <w:rPr>
          <w:rFonts w:hint="eastAsia" w:ascii="宋体" w:hAnsi="宋体" w:eastAsia="宋体"/>
          <w:sz w:val="48"/>
          <w:szCs w:val="48"/>
        </w:rPr>
        <w:t>采购技术指标及配置需求表</w:t>
      </w:r>
    </w:p>
    <w:p w14:paraId="2DEB89C3">
      <w:pPr>
        <w:rPr>
          <w:rFonts w:hAnsi="宋体"/>
          <w:sz w:val="22"/>
          <w:szCs w:val="22"/>
        </w:rPr>
      </w:pPr>
    </w:p>
    <w:tbl>
      <w:tblPr>
        <w:tblStyle w:val="6"/>
        <w:tblW w:w="998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8721"/>
      </w:tblGrid>
      <w:tr w14:paraId="668FEB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2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C0F5E1">
            <w:pPr>
              <w:rPr>
                <w:rFonts w:hAnsi="宋体"/>
                <w:kern w:val="2"/>
                <w:sz w:val="22"/>
                <w:szCs w:val="22"/>
              </w:rPr>
            </w:pPr>
            <w:r>
              <w:rPr>
                <w:rFonts w:hint="eastAsia" w:hAnsi="宋体"/>
                <w:sz w:val="22"/>
                <w:szCs w:val="22"/>
              </w:rPr>
              <w:t>项目名称</w:t>
            </w:r>
          </w:p>
        </w:tc>
        <w:tc>
          <w:tcPr>
            <w:tcW w:w="872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5A73241">
            <w:pPr>
              <w:rPr>
                <w:rFonts w:hint="default" w:ascii="宋体" w:hAnsi="宋体" w:eastAsia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  <w:t>微生物语料文献标注及审核</w:t>
            </w:r>
          </w:p>
        </w:tc>
      </w:tr>
      <w:tr w14:paraId="20BDB3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  <w:jc w:val="center"/>
        </w:trPr>
        <w:tc>
          <w:tcPr>
            <w:tcW w:w="12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47DDB6">
            <w:pPr>
              <w:rPr>
                <w:rFonts w:hAnsi="宋体"/>
                <w:kern w:val="2"/>
                <w:sz w:val="22"/>
                <w:szCs w:val="22"/>
              </w:rPr>
            </w:pPr>
            <w:r>
              <w:rPr>
                <w:rFonts w:hint="eastAsia" w:hAnsi="宋体"/>
                <w:sz w:val="22"/>
                <w:szCs w:val="22"/>
              </w:rPr>
              <w:t>拟开展工作</w:t>
            </w:r>
          </w:p>
        </w:tc>
        <w:tc>
          <w:tcPr>
            <w:tcW w:w="87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2116788">
            <w:pPr>
              <w:rPr>
                <w:rFonts w:hint="default" w:ascii="宋体" w:hAnsi="宋体" w:eastAsia="宋体"/>
                <w:sz w:val="22"/>
                <w:szCs w:val="22"/>
                <w:lang w:val="en-US"/>
              </w:rPr>
            </w:pPr>
            <w:r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  <w:t>本项目采购微生物领域科技文献语料的标注及审核技术服务。服务方须对指定范围的微生物领域文献语料进行标准化处理，按统一的标注体系完成实体、关系、主题、科研事件等多层次知识标注，并对标注成果实施机器质检、人工审核与领域专家复核相结合的多级审核，最终交付经审核合格、带完整原文溯源依据的高质量标注语料数据</w:t>
            </w:r>
            <w:r>
              <w:rPr>
                <w:rFonts w:hint="eastAsia" w:hAnsi="宋体"/>
                <w:sz w:val="22"/>
                <w:szCs w:val="22"/>
                <w:lang w:val="en-US" w:eastAsia="zh-CN"/>
              </w:rPr>
              <w:t>包</w:t>
            </w:r>
            <w:r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  <w:t>。服务总体目标：形成规模化、规范化、可溯源、经多级审核的微生物领域标注语料资产，包括标注实体与关系数据、科研事件标注数据、主题标注数据，以及在标注成果基础上编制并经审核的深度问答标注样本，用于支撑领域知识管理与智能分析能力的训练与评测。</w:t>
            </w:r>
          </w:p>
        </w:tc>
      </w:tr>
      <w:tr w14:paraId="7BE41D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9" w:hRule="atLeast"/>
          <w:jc w:val="center"/>
        </w:trPr>
        <w:tc>
          <w:tcPr>
            <w:tcW w:w="12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8DFA64">
            <w:pPr>
              <w:rPr>
                <w:rFonts w:hAnsi="宋体"/>
                <w:kern w:val="2"/>
                <w:sz w:val="22"/>
                <w:szCs w:val="22"/>
              </w:rPr>
            </w:pPr>
            <w:r>
              <w:rPr>
                <w:rFonts w:hint="eastAsia" w:hAnsi="宋体"/>
                <w:sz w:val="22"/>
                <w:szCs w:val="22"/>
              </w:rPr>
              <w:t>技术指标</w:t>
            </w:r>
          </w:p>
        </w:tc>
        <w:tc>
          <w:tcPr>
            <w:tcW w:w="87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14:paraId="6C1181E6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本项目全部工作内容均由乙方专业技术人员人工实施，依托开源基础大模型完成微生物领域文献语料标注及审核技术服务，各项服务需满足以下技术指标：</w:t>
            </w:r>
          </w:p>
          <w:p w14:paraId="6D1BAC1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720" w:hanging="360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hAnsi="宋体"/>
                <w:color w:val="222222"/>
                <w:sz w:val="22"/>
                <w:szCs w:val="22"/>
              </w:rPr>
              <w:t>★</w:t>
            </w:r>
            <w:r>
              <w:rPr>
                <w:rFonts w:hint="eastAsia" w:hAnsi="宋体"/>
                <w:color w:val="222222"/>
                <w:sz w:val="22"/>
                <w:szCs w:val="22"/>
                <w:lang w:val="en-US" w:eastAsia="zh-CN"/>
              </w:rPr>
              <w:t>语料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标准化处理服务：微生物领域科技文献的收集治理、去重、格式转换、正文抽取与文本分块，元数据标准化，形成可标注、可溯源的标准化</w:t>
            </w:r>
            <w:r>
              <w:rPr>
                <w:rFonts w:hint="eastAsia" w:hAnsi="宋体" w:cs="宋体"/>
                <w:kern w:val="0"/>
                <w:sz w:val="22"/>
                <w:szCs w:val="22"/>
                <w:lang w:val="en-US" w:eastAsia="zh-CN" w:bidi="ar"/>
              </w:rPr>
              <w:t>数据样本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。</w:t>
            </w:r>
            <w:r>
              <w:rPr>
                <w:rFonts w:hint="eastAsia" w:hAnsi="宋体" w:cs="宋体"/>
                <w:kern w:val="0"/>
                <w:sz w:val="22"/>
                <w:szCs w:val="22"/>
                <w:lang w:val="en-US" w:eastAsia="zh-CN" w:bidi="ar"/>
              </w:rPr>
              <w:t>累计处理文献≥40000篇。交付语料治理清单。</w:t>
            </w:r>
          </w:p>
          <w:p w14:paraId="5D1B063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720" w:hanging="360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hAnsi="宋体"/>
                <w:color w:val="222222"/>
                <w:sz w:val="22"/>
                <w:szCs w:val="22"/>
              </w:rPr>
              <w:t>★</w:t>
            </w:r>
            <w:r>
              <w:rPr>
                <w:rFonts w:hint="eastAsia" w:hAnsi="宋体" w:cs="宋体"/>
                <w:kern w:val="0"/>
                <w:sz w:val="22"/>
                <w:szCs w:val="22"/>
                <w:lang w:val="en-US" w:eastAsia="zh-CN" w:bidi="ar"/>
              </w:rPr>
              <w:t>标注体系建设服务：制定实体类型、关系类型、主题方向与科研事件的标注规范及标注指南，版本化维护，并在标注过程中持续修订完善。定义关系类型≥160种，主题≥8类。交付各个标注体系规范文档。</w:t>
            </w:r>
          </w:p>
          <w:p w14:paraId="4A9D704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720" w:hanging="360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hAnsi="宋体"/>
                <w:color w:val="222222"/>
                <w:sz w:val="22"/>
                <w:szCs w:val="22"/>
              </w:rPr>
              <w:t>★</w:t>
            </w:r>
            <w:r>
              <w:rPr>
                <w:rFonts w:hint="eastAsia" w:hAnsi="宋体"/>
                <w:color w:val="222222"/>
                <w:sz w:val="22"/>
                <w:szCs w:val="22"/>
                <w:lang w:val="en-US" w:eastAsia="zh-CN"/>
              </w:rPr>
              <w:t>文献标注实施服务：采用智能辅助与人工相结合的方式，完成实体标注、关系标注、原文证据标注、主题标注与科研事件标注</w:t>
            </w:r>
            <w:bookmarkStart w:id="0" w:name="_GoBack"/>
            <w:bookmarkEnd w:id="0"/>
            <w:r>
              <w:rPr>
                <w:rFonts w:hint="eastAsia" w:hAnsi="宋体"/>
                <w:color w:val="222222"/>
                <w:sz w:val="22"/>
                <w:szCs w:val="22"/>
                <w:lang w:val="en-US" w:eastAsia="zh-CN"/>
              </w:rPr>
              <w:t>；对辅助标注能力进行定制调优。标注规模：实体不少于 300,000 个，关系标注不少于 800,000 条，</w:t>
            </w:r>
            <w:r>
              <w:rPr>
                <w:rFonts w:ascii="Times New Roman" w:hAnsi="Times New Roman" w:eastAsia="宋体"/>
                <w:b w:val="0"/>
                <w:bCs w:val="0"/>
                <w:sz w:val="21"/>
                <w:szCs w:val="21"/>
              </w:rPr>
              <w:t>证据标注覆盖率 100%。</w:t>
            </w:r>
            <w:r>
              <w:rPr>
                <w:rFonts w:hint="eastAsia" w:asci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t>交付标注</w:t>
            </w:r>
            <w:r>
              <w:rPr>
                <w:rFonts w:hint="eastAsia" w:ascii="Times New Roman" w:eastAsia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数据</w:t>
            </w:r>
            <w:r>
              <w:rPr>
                <w:rFonts w:hint="eastAsia" w:ascii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包</w:t>
            </w:r>
            <w:r>
              <w:rPr>
                <w:rFonts w:hint="eastAsia" w:asci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t>。</w:t>
            </w:r>
          </w:p>
          <w:p w14:paraId="0F2D63D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720" w:hanging="360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hAnsi="宋体"/>
                <w:color w:val="222222"/>
                <w:sz w:val="22"/>
                <w:szCs w:val="22"/>
              </w:rPr>
              <w:t>★</w:t>
            </w:r>
            <w:r>
              <w:rPr>
                <w:rFonts w:hint="eastAsia" w:hAnsi="宋体"/>
                <w:color w:val="222222"/>
                <w:sz w:val="22"/>
                <w:szCs w:val="22"/>
                <w:lang w:val="en-US" w:eastAsia="zh-CN"/>
              </w:rPr>
              <w:t>标注审核与质量控制服务：</w:t>
            </w:r>
            <w:r>
              <w:rPr>
                <w:rFonts w:hint="eastAsia" w:hAnsi="宋体"/>
                <w:color w:val="222222"/>
                <w:sz w:val="22"/>
                <w:szCs w:val="22"/>
              </w:rPr>
              <w:t>建立</w:t>
            </w:r>
            <w:r>
              <w:rPr>
                <w:rFonts w:hint="eastAsia" w:hAnsi="宋体"/>
                <w:color w:val="222222"/>
                <w:sz w:val="22"/>
                <w:szCs w:val="22"/>
                <w:lang w:val="en-US" w:eastAsia="zh-CN"/>
              </w:rPr>
              <w:t>样本初筛</w:t>
            </w:r>
            <w:r>
              <w:rPr>
                <w:rFonts w:hint="eastAsia" w:hAnsi="宋体"/>
                <w:color w:val="222222"/>
                <w:sz w:val="22"/>
                <w:szCs w:val="22"/>
              </w:rPr>
              <w:t>、人工抽检审核、争议仲裁的多级审核流程，量化评测标注质量</w:t>
            </w:r>
            <w:r>
              <w:rPr>
                <w:rFonts w:hint="eastAsia" w:hAnsi="宋体"/>
                <w:color w:val="222222"/>
                <w:sz w:val="22"/>
                <w:szCs w:val="22"/>
                <w:lang w:eastAsia="zh-CN"/>
              </w:rPr>
              <w:t>。对全部标注成果实施程序化质检，覆盖率 100%。人工抽检比例不低于标注总量的 5%，专家抽检通过率不低于 90%。</w:t>
            </w:r>
            <w:r>
              <w:rPr>
                <w:rFonts w:hint="eastAsia" w:hAnsi="宋体"/>
                <w:color w:val="222222"/>
                <w:sz w:val="22"/>
                <w:szCs w:val="22"/>
                <w:highlight w:val="none"/>
                <w:lang w:val="en-US" w:eastAsia="zh-CN"/>
              </w:rPr>
              <w:t>交付</w:t>
            </w:r>
            <w:r>
              <w:rPr>
                <w:rFonts w:hint="eastAsia" w:hAnsi="宋体"/>
                <w:color w:val="222222"/>
                <w:sz w:val="22"/>
                <w:szCs w:val="22"/>
                <w:lang w:val="en-US" w:eastAsia="zh-CN"/>
              </w:rPr>
              <w:t>质检记录、人工审核记录、仲裁复核记录。</w:t>
            </w:r>
          </w:p>
          <w:p w14:paraId="34E34F9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720" w:hanging="360"/>
              <w:rPr>
                <w:rFonts w:hint="default" w:hAnsi="宋体"/>
                <w:color w:val="222222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color w:val="222222"/>
                <w:sz w:val="22"/>
                <w:szCs w:val="22"/>
              </w:rPr>
              <w:t>★</w:t>
            </w:r>
            <w:r>
              <w:rPr>
                <w:rFonts w:hint="eastAsia" w:hAnsi="宋体" w:cs="宋体"/>
                <w:kern w:val="0"/>
                <w:sz w:val="22"/>
                <w:szCs w:val="22"/>
                <w:lang w:val="en-US" w:eastAsia="zh-CN" w:bidi="ar"/>
              </w:rPr>
              <w:t>问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答标注样本编制与审核服务</w:t>
            </w:r>
            <w:r>
              <w:rPr>
                <w:rFonts w:hint="eastAsia" w:hAnsi="宋体" w:cs="宋体"/>
                <w:kern w:val="0"/>
                <w:sz w:val="22"/>
                <w:szCs w:val="22"/>
                <w:lang w:val="en-US" w:eastAsia="zh-CN" w:bidi="ar"/>
              </w:rPr>
              <w:t>：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基于标注成果编制分难度等级的深度问答标注样本，逐题完成答案唯一性、防泄漏、原文溯源三重校验及高难度样本审核。</w:t>
            </w:r>
            <w:r>
              <w:rPr>
                <w:rFonts w:ascii="Times New Roman" w:hAnsi="Times New Roman" w:eastAsia="宋体"/>
                <w:b w:val="0"/>
                <w:bCs w:val="0"/>
                <w:sz w:val="21"/>
                <w:szCs w:val="21"/>
              </w:rPr>
              <w:t>样本总量不少于 1,000 道</w:t>
            </w:r>
            <w:r>
              <w:rPr>
                <w:rFonts w:hint="eastAsia" w:ascii="Times New Roman" w:eastAsia="宋体"/>
                <w:b w:val="0"/>
                <w:bCs w:val="0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t>交付问答标注</w:t>
            </w:r>
            <w:r>
              <w:rPr>
                <w:rFonts w:hint="eastAsia" w:ascii="Times New Roman"/>
                <w:b w:val="0"/>
                <w:bCs w:val="0"/>
                <w:sz w:val="21"/>
                <w:szCs w:val="21"/>
                <w:lang w:val="en-US" w:eastAsia="zh-CN"/>
              </w:rPr>
              <w:t>数据包</w:t>
            </w:r>
            <w:r>
              <w:rPr>
                <w:rFonts w:hint="eastAsia" w:asci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t>。</w:t>
            </w:r>
          </w:p>
          <w:p w14:paraId="3BE997D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720" w:hanging="360"/>
              <w:rPr>
                <w:rFonts w:hint="default" w:hAnsi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2"/>
                <w:szCs w:val="22"/>
              </w:rPr>
              <w:t>★</w:t>
            </w:r>
            <w:r>
              <w:rPr>
                <w:rFonts w:hint="eastAsia" w:hAnsi="宋体"/>
                <w:color w:val="auto"/>
                <w:sz w:val="22"/>
                <w:szCs w:val="22"/>
                <w:lang w:val="en-US" w:eastAsia="zh-CN"/>
              </w:rPr>
              <w:t>强化学习数据集采样服务：基于标注成果</w:t>
            </w:r>
            <w:r>
              <w:rPr>
                <w:rFonts w:hint="eastAsia" w:hAnsi="宋体"/>
                <w:color w:val="auto"/>
                <w:sz w:val="22"/>
                <w:szCs w:val="22"/>
                <w:highlight w:val="none"/>
                <w:lang w:val="en-US" w:eastAsia="zh-CN"/>
              </w:rPr>
              <w:t>结合ai智能体构建工具使用数据包，设计基于数据集的RLVR强化学习方案。交付采样数据包与训练设计方案手册文档。</w:t>
            </w:r>
          </w:p>
          <w:p w14:paraId="5D17ABC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720" w:hanging="360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hAnsi="宋体"/>
                <w:color w:val="222222"/>
                <w:sz w:val="22"/>
                <w:szCs w:val="22"/>
              </w:rPr>
              <w:t>▲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本地部署与实操培训服务：现场实操培训，现场集中培训时长≥4 小时</w:t>
            </w:r>
            <w:r>
              <w:rPr>
                <w:rFonts w:hint="eastAsia" w:hAnsi="宋体" w:cs="宋体"/>
                <w:kern w:val="0"/>
                <w:sz w:val="22"/>
                <w:szCs w:val="22"/>
                <w:lang w:val="en-US" w:eastAsia="zh-CN" w:bidi="ar"/>
              </w:rPr>
              <w:t>。</w:t>
            </w:r>
          </w:p>
          <w:p w14:paraId="466A6CF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720" w:hanging="360"/>
              <w:rPr>
                <w:rFonts w:hAnsi="宋体"/>
                <w:color w:val="000000"/>
                <w:sz w:val="22"/>
                <w:szCs w:val="22"/>
              </w:rPr>
            </w:pPr>
            <w:r>
              <w:rPr>
                <w:rFonts w:hint="eastAsia" w:hAnsi="宋体"/>
                <w:color w:val="222222"/>
                <w:sz w:val="22"/>
                <w:szCs w:val="22"/>
              </w:rPr>
              <w:t>★</w:t>
            </w:r>
            <w:r>
              <w:rPr>
                <w:rFonts w:hint="eastAsia" w:hAnsi="宋体" w:cs="宋体"/>
                <w:kern w:val="0"/>
                <w:sz w:val="22"/>
                <w:szCs w:val="22"/>
                <w:lang w:val="en-US" w:eastAsia="zh-CN" w:bidi="ar"/>
              </w:rPr>
              <w:t>售后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服务：项目验收合格后提供不少于 3 个月专属人工技术支撑</w:t>
            </w:r>
            <w:r>
              <w:rPr>
                <w:rFonts w:hint="eastAsia" w:hAnsi="宋体" w:cs="宋体"/>
                <w:kern w:val="0"/>
                <w:sz w:val="22"/>
                <w:szCs w:val="22"/>
                <w:lang w:val="en-US" w:eastAsia="zh-CN" w:bidi="ar"/>
              </w:rPr>
              <w:t>。</w:t>
            </w:r>
          </w:p>
        </w:tc>
      </w:tr>
      <w:tr w14:paraId="2D8510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2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5AC66E">
            <w:pPr>
              <w:rPr>
                <w:rFonts w:hAnsi="宋体"/>
                <w:kern w:val="2"/>
                <w:sz w:val="22"/>
                <w:szCs w:val="22"/>
              </w:rPr>
            </w:pPr>
            <w:r>
              <w:rPr>
                <w:rFonts w:hint="eastAsia" w:hAnsi="宋体"/>
                <w:sz w:val="22"/>
                <w:szCs w:val="22"/>
              </w:rPr>
              <w:t>配置要求</w:t>
            </w:r>
          </w:p>
        </w:tc>
        <w:tc>
          <w:tcPr>
            <w:tcW w:w="87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14:paraId="4A035390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项目实施人力配置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：供应商组建固定专项</w:t>
            </w:r>
            <w:r>
              <w:rPr>
                <w:rFonts w:hint="eastAsia" w:hAnsi="宋体" w:cs="宋体"/>
                <w:kern w:val="0"/>
                <w:sz w:val="22"/>
                <w:szCs w:val="22"/>
                <w:lang w:val="en-US" w:eastAsia="zh-CN" w:bidi="ar"/>
              </w:rPr>
              <w:t>实施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团队，配备生物信息处理、算法微调专职技术人员各不少于 1 名，项目周期核心人员不得随意更换，</w:t>
            </w:r>
            <w:r>
              <w:rPr>
                <w:rFonts w:hint="eastAsia" w:hAnsi="宋体" w:cs="宋体"/>
                <w:kern w:val="0"/>
                <w:sz w:val="22"/>
                <w:szCs w:val="22"/>
                <w:lang w:val="en-US" w:eastAsia="zh-CN" w:bidi="ar"/>
              </w:rPr>
              <w:t>设置专属对接人员，提供全周期对接服务。</w:t>
            </w:r>
          </w:p>
          <w:p w14:paraId="2CBA55FF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算力与部署环境配置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：</w:t>
            </w:r>
            <w:r>
              <w:rPr>
                <w:rFonts w:hint="eastAsia" w:hAnsi="宋体" w:cs="宋体"/>
                <w:kern w:val="0"/>
                <w:sz w:val="22"/>
                <w:szCs w:val="22"/>
                <w:lang w:val="en-US" w:eastAsia="zh-CN" w:bidi="ar"/>
              </w:rPr>
              <w:t>采购方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承担数据向量化、模型微调训练所需 GPU 算力，</w:t>
            </w:r>
            <w:r>
              <w:rPr>
                <w:rFonts w:hint="eastAsia" w:hAnsi="宋体" w:cs="宋体"/>
                <w:kern w:val="0"/>
                <w:sz w:val="22"/>
                <w:szCs w:val="22"/>
                <w:lang w:val="en-US" w:eastAsia="zh-CN" w:bidi="ar"/>
              </w:rPr>
              <w:t>以及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提供本地物理隔离服务器</w:t>
            </w:r>
            <w:r>
              <w:rPr>
                <w:rFonts w:hint="eastAsia" w:hAnsi="宋体" w:cs="宋体"/>
                <w:kern w:val="0"/>
                <w:sz w:val="22"/>
                <w:szCs w:val="22"/>
                <w:lang w:val="en-US" w:eastAsia="zh-CN" w:bidi="ar"/>
              </w:rPr>
              <w:t>。</w:t>
            </w:r>
          </w:p>
          <w:p w14:paraId="0DAAD38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现场配套人工服务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：开展不少于 4 小时培训，配套培训课件。</w:t>
            </w:r>
          </w:p>
          <w:p w14:paraId="40C90028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hAnsi="宋体" w:cs="宋体"/>
                <w:kern w:val="0"/>
                <w:sz w:val="22"/>
                <w:szCs w:val="22"/>
                <w:lang w:val="en-US" w:eastAsia="zh-CN" w:bidi="ar"/>
              </w:rPr>
              <w:t>交付时限要求：以项目开展日起，</w:t>
            </w:r>
            <w:r>
              <w:rPr>
                <w:rFonts w:hint="eastAsia" w:hAnsi="宋体" w:cs="宋体"/>
                <w:kern w:val="0"/>
                <w:sz w:val="22"/>
                <w:szCs w:val="22"/>
                <w:highlight w:val="none"/>
                <w:lang w:val="en-US" w:eastAsia="zh-CN" w:bidi="ar"/>
              </w:rPr>
              <w:t>需在45天内交付技术指标所述所有任务。</w:t>
            </w:r>
          </w:p>
          <w:p w14:paraId="799C202E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rPr>
                <w:rFonts w:hint="eastAsia" w:ascii="宋体" w:hAnsi="宋体" w:eastAsia="宋体" w:cs="宋体"/>
                <w:color w:val="222222"/>
                <w:sz w:val="22"/>
                <w:szCs w:val="22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  <w:lang w:val="en-US" w:eastAsia="zh-CN" w:bidi="ar"/>
              </w:rPr>
              <w:t>售后人工技术保障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  <w:lang w:val="en-US" w:eastAsia="zh-CN" w:bidi="ar"/>
              </w:rPr>
              <w:t>：终验后 3 个月内提供专属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技术人员线上答疑，根据课题结题需求免费调整、补充全套技术文档材料</w:t>
            </w:r>
            <w:r>
              <w:rPr>
                <w:rFonts w:hint="eastAsia" w:hAnsi="宋体" w:cs="宋体"/>
                <w:kern w:val="0"/>
                <w:sz w:val="22"/>
                <w:szCs w:val="22"/>
                <w:lang w:val="en-US" w:eastAsia="zh-CN" w:bidi="ar"/>
              </w:rPr>
              <w:t>。</w:t>
            </w:r>
          </w:p>
          <w:p w14:paraId="329C3409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3C80C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12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4CECA9C">
            <w:pPr>
              <w:rPr>
                <w:rFonts w:hAnsi="宋体"/>
                <w:kern w:val="2"/>
                <w:sz w:val="22"/>
                <w:szCs w:val="22"/>
              </w:rPr>
            </w:pPr>
            <w:r>
              <w:rPr>
                <w:rFonts w:hint="eastAsia" w:hAnsi="宋体"/>
                <w:sz w:val="22"/>
                <w:szCs w:val="22"/>
              </w:rPr>
              <w:t>备注</w:t>
            </w:r>
          </w:p>
        </w:tc>
        <w:tc>
          <w:tcPr>
            <w:tcW w:w="872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</w:tcPr>
          <w:p w14:paraId="5EE62634">
            <w:pPr>
              <w:widowControl/>
              <w:numPr>
                <w:ilvl w:val="0"/>
                <w:numId w:val="3"/>
              </w:numPr>
              <w:shd w:val="clear" w:color="auto" w:fill="FFFFFF"/>
              <w:autoSpaceDE/>
              <w:autoSpaceDN/>
              <w:adjustRightInd/>
              <w:spacing w:before="100" w:beforeAutospacing="1" w:after="100" w:afterAutospacing="1"/>
              <w:rPr>
                <w:rFonts w:hAnsi="宋体"/>
                <w:color w:val="222222"/>
                <w:sz w:val="22"/>
                <w:szCs w:val="22"/>
              </w:rPr>
            </w:pPr>
            <w:r>
              <w:rPr>
                <w:rStyle w:val="8"/>
                <w:rFonts w:hint="eastAsia" w:hAnsi="宋体"/>
                <w:color w:val="222222"/>
                <w:sz w:val="22"/>
                <w:szCs w:val="22"/>
              </w:rPr>
              <w:t>符合性要求说明</w:t>
            </w:r>
            <w:r>
              <w:rPr>
                <w:rFonts w:hint="eastAsia" w:hAnsi="宋体"/>
                <w:color w:val="222222"/>
                <w:sz w:val="22"/>
                <w:szCs w:val="22"/>
              </w:rPr>
              <w:t>：标记“★”的为实质性关键条款，必须完全满足，任何负偏离将导致投标无效。标记“▲”的为重要技术参数，是项目追求的高阶目标，其技术方案的先进性与可行性将作为重要评审依据。</w:t>
            </w:r>
          </w:p>
          <w:p w14:paraId="5375E3E3">
            <w:pPr>
              <w:widowControl/>
              <w:numPr>
                <w:ilvl w:val="0"/>
                <w:numId w:val="3"/>
              </w:numPr>
              <w:shd w:val="clear" w:color="auto" w:fill="FFFFFF"/>
              <w:autoSpaceDE/>
              <w:autoSpaceDN/>
              <w:adjustRightInd/>
              <w:spacing w:before="100" w:beforeAutospacing="1" w:after="100" w:afterAutospacing="1"/>
              <w:rPr>
                <w:rFonts w:hAnsi="宋体"/>
                <w:color w:val="222222"/>
                <w:sz w:val="22"/>
                <w:szCs w:val="22"/>
              </w:rPr>
            </w:pPr>
            <w:r>
              <w:rPr>
                <w:rStyle w:val="8"/>
                <w:rFonts w:hint="eastAsia" w:hAnsi="宋体"/>
                <w:color w:val="222222"/>
                <w:sz w:val="22"/>
                <w:szCs w:val="22"/>
              </w:rPr>
              <w:t>售后服务</w:t>
            </w:r>
            <w:r>
              <w:rPr>
                <w:rFonts w:hint="eastAsia" w:hAnsi="宋体"/>
                <w:color w:val="222222"/>
                <w:sz w:val="22"/>
                <w:szCs w:val="22"/>
              </w:rPr>
              <w:t>：供应商需提供自系统最终验收合格之日起不少于</w:t>
            </w:r>
            <w:r>
              <w:rPr>
                <w:rFonts w:hAnsi="宋体"/>
                <w:color w:val="222222"/>
                <w:sz w:val="22"/>
                <w:szCs w:val="22"/>
              </w:rPr>
              <w:t>3</w:t>
            </w:r>
            <w:r>
              <w:rPr>
                <w:rFonts w:hint="eastAsia" w:hAnsi="宋体"/>
                <w:color w:val="222222"/>
                <w:sz w:val="22"/>
                <w:szCs w:val="22"/>
              </w:rPr>
              <w:t>个月的免费技术支持与系统维护服务。</w:t>
            </w:r>
          </w:p>
          <w:p w14:paraId="6C3FB9CE">
            <w:pPr>
              <w:rPr>
                <w:rFonts w:hAnsi="宋体"/>
                <w:color w:val="FF0000"/>
                <w:sz w:val="22"/>
                <w:szCs w:val="22"/>
                <w:u w:color="000000"/>
              </w:rPr>
            </w:pPr>
          </w:p>
        </w:tc>
      </w:tr>
    </w:tbl>
    <w:p w14:paraId="0C9BE20F">
      <w:pPr>
        <w:rPr>
          <w:rFonts w:hAnsi="宋体"/>
          <w:kern w:val="2"/>
          <w:sz w:val="22"/>
          <w:szCs w:val="22"/>
        </w:rPr>
      </w:pPr>
      <w:r>
        <w:rPr>
          <w:rFonts w:hint="eastAsia" w:hAnsi="宋体"/>
          <w:sz w:val="22"/>
          <w:szCs w:val="22"/>
        </w:rPr>
        <w:t xml:space="preserve">申请人签字：                                   </w:t>
      </w:r>
    </w:p>
    <w:p w14:paraId="533C014F">
      <w:pPr>
        <w:rPr>
          <w:rFonts w:hAnsi="宋体"/>
          <w:sz w:val="22"/>
          <w:szCs w:val="22"/>
        </w:rPr>
      </w:pPr>
    </w:p>
    <w:p w14:paraId="13EA906F">
      <w:pPr>
        <w:rPr>
          <w:rFonts w:hAnsi="宋体"/>
          <w:sz w:val="22"/>
          <w:szCs w:val="22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F4D9F7"/>
    <w:multiLevelType w:val="multilevel"/>
    <w:tmpl w:val="9BF4D9F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FFFB737A"/>
    <w:multiLevelType w:val="singleLevel"/>
    <w:tmpl w:val="FFFB737A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4C0D5110"/>
    <w:multiLevelType w:val="multilevel"/>
    <w:tmpl w:val="4C0D511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hideSpellingErrors/>
  <w:hideGrammaticalErrors/>
  <w:trackRevisions w:val="1"/>
  <w:documentProtection w:enforcement="0"/>
  <w:defaultTabStop w:val="420"/>
  <w:drawingGridHorizontalSpacing w:val="10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DCC"/>
    <w:rsid w:val="000400F5"/>
    <w:rsid w:val="00083180"/>
    <w:rsid w:val="000845EC"/>
    <w:rsid w:val="0009019E"/>
    <w:rsid w:val="000C0F85"/>
    <w:rsid w:val="000D5F29"/>
    <w:rsid w:val="000E7B18"/>
    <w:rsid w:val="00111890"/>
    <w:rsid w:val="00133584"/>
    <w:rsid w:val="001427ED"/>
    <w:rsid w:val="00142EE6"/>
    <w:rsid w:val="00167E65"/>
    <w:rsid w:val="0017562C"/>
    <w:rsid w:val="00184A74"/>
    <w:rsid w:val="001850ED"/>
    <w:rsid w:val="0018566B"/>
    <w:rsid w:val="001A4747"/>
    <w:rsid w:val="00222B0C"/>
    <w:rsid w:val="0024494C"/>
    <w:rsid w:val="0024537B"/>
    <w:rsid w:val="00250BA1"/>
    <w:rsid w:val="00283470"/>
    <w:rsid w:val="002846FF"/>
    <w:rsid w:val="002B5ED9"/>
    <w:rsid w:val="002D64A9"/>
    <w:rsid w:val="00305E77"/>
    <w:rsid w:val="0034040D"/>
    <w:rsid w:val="00342795"/>
    <w:rsid w:val="003472A3"/>
    <w:rsid w:val="003B05A1"/>
    <w:rsid w:val="003B5B64"/>
    <w:rsid w:val="004030F8"/>
    <w:rsid w:val="004304A9"/>
    <w:rsid w:val="00433753"/>
    <w:rsid w:val="00443DE8"/>
    <w:rsid w:val="004442B6"/>
    <w:rsid w:val="00475ABB"/>
    <w:rsid w:val="00487D11"/>
    <w:rsid w:val="004B390B"/>
    <w:rsid w:val="004D4DCC"/>
    <w:rsid w:val="00510FB2"/>
    <w:rsid w:val="00553A1F"/>
    <w:rsid w:val="0058572F"/>
    <w:rsid w:val="005932C6"/>
    <w:rsid w:val="005945EF"/>
    <w:rsid w:val="005A26B9"/>
    <w:rsid w:val="005B60B7"/>
    <w:rsid w:val="005D4F45"/>
    <w:rsid w:val="005E3DB6"/>
    <w:rsid w:val="00606487"/>
    <w:rsid w:val="006152A4"/>
    <w:rsid w:val="00623179"/>
    <w:rsid w:val="00644D54"/>
    <w:rsid w:val="00651971"/>
    <w:rsid w:val="006D3C0F"/>
    <w:rsid w:val="006D754E"/>
    <w:rsid w:val="006D7628"/>
    <w:rsid w:val="0075162E"/>
    <w:rsid w:val="007929A2"/>
    <w:rsid w:val="0079493A"/>
    <w:rsid w:val="00795260"/>
    <w:rsid w:val="00795A99"/>
    <w:rsid w:val="007D5CA4"/>
    <w:rsid w:val="008503A6"/>
    <w:rsid w:val="00852E90"/>
    <w:rsid w:val="008D30AA"/>
    <w:rsid w:val="008D6FB8"/>
    <w:rsid w:val="008F65D0"/>
    <w:rsid w:val="00930775"/>
    <w:rsid w:val="0093729E"/>
    <w:rsid w:val="00951595"/>
    <w:rsid w:val="0095303E"/>
    <w:rsid w:val="009C6CEA"/>
    <w:rsid w:val="009D4D65"/>
    <w:rsid w:val="009E154A"/>
    <w:rsid w:val="009E7377"/>
    <w:rsid w:val="00A019BD"/>
    <w:rsid w:val="00A04BE1"/>
    <w:rsid w:val="00A21F61"/>
    <w:rsid w:val="00A25601"/>
    <w:rsid w:val="00A332D9"/>
    <w:rsid w:val="00A41E13"/>
    <w:rsid w:val="00A512F3"/>
    <w:rsid w:val="00A622FD"/>
    <w:rsid w:val="00A646F0"/>
    <w:rsid w:val="00A64903"/>
    <w:rsid w:val="00A879EF"/>
    <w:rsid w:val="00B3123A"/>
    <w:rsid w:val="00B5141B"/>
    <w:rsid w:val="00B62B14"/>
    <w:rsid w:val="00BA6353"/>
    <w:rsid w:val="00BE2296"/>
    <w:rsid w:val="00BF6713"/>
    <w:rsid w:val="00C004FC"/>
    <w:rsid w:val="00C31F97"/>
    <w:rsid w:val="00C50D04"/>
    <w:rsid w:val="00C57925"/>
    <w:rsid w:val="00CA35A9"/>
    <w:rsid w:val="00CC10CC"/>
    <w:rsid w:val="00CC1A7D"/>
    <w:rsid w:val="00CC7A05"/>
    <w:rsid w:val="00CF2BA0"/>
    <w:rsid w:val="00D2507A"/>
    <w:rsid w:val="00D60DE5"/>
    <w:rsid w:val="00D87369"/>
    <w:rsid w:val="00D9076E"/>
    <w:rsid w:val="00D92AFA"/>
    <w:rsid w:val="00DC66C8"/>
    <w:rsid w:val="00E010C8"/>
    <w:rsid w:val="00E01F2F"/>
    <w:rsid w:val="00E220A3"/>
    <w:rsid w:val="00E26655"/>
    <w:rsid w:val="00E47E2C"/>
    <w:rsid w:val="00E75B26"/>
    <w:rsid w:val="00E837AE"/>
    <w:rsid w:val="00E91FEE"/>
    <w:rsid w:val="00E924C1"/>
    <w:rsid w:val="00E95EEC"/>
    <w:rsid w:val="00EB4D58"/>
    <w:rsid w:val="00EC3295"/>
    <w:rsid w:val="00EC3A6C"/>
    <w:rsid w:val="00F04453"/>
    <w:rsid w:val="00F047E0"/>
    <w:rsid w:val="00F2636F"/>
    <w:rsid w:val="00F266E3"/>
    <w:rsid w:val="00F35753"/>
    <w:rsid w:val="00F5614C"/>
    <w:rsid w:val="00FA27D9"/>
    <w:rsid w:val="00FA5055"/>
    <w:rsid w:val="00FD1AA7"/>
    <w:rsid w:val="00FE463E"/>
    <w:rsid w:val="0BBB3156"/>
    <w:rsid w:val="0BC60689"/>
    <w:rsid w:val="1DD320F7"/>
    <w:rsid w:val="3B6355C3"/>
    <w:rsid w:val="3EFDD23B"/>
    <w:rsid w:val="3F5B02F1"/>
    <w:rsid w:val="47090569"/>
    <w:rsid w:val="53D02E0F"/>
    <w:rsid w:val="58D115E2"/>
    <w:rsid w:val="654A67E8"/>
    <w:rsid w:val="67F56F78"/>
    <w:rsid w:val="68E766BE"/>
    <w:rsid w:val="73FAD538"/>
    <w:rsid w:val="77259ECC"/>
    <w:rsid w:val="776F4DF9"/>
    <w:rsid w:val="7BDD5BE0"/>
    <w:rsid w:val="7EFF6546"/>
    <w:rsid w:val="7FD22CB4"/>
    <w:rsid w:val="7FF840D0"/>
    <w:rsid w:val="A9B3AA7F"/>
    <w:rsid w:val="B73340B7"/>
    <w:rsid w:val="BF7F8DC9"/>
    <w:rsid w:val="BFF77AFA"/>
    <w:rsid w:val="DF87B5CD"/>
    <w:rsid w:val="DFFF9EB2"/>
    <w:rsid w:val="E5B3F6C7"/>
    <w:rsid w:val="E5DE5370"/>
    <w:rsid w:val="E6D7E8B5"/>
    <w:rsid w:val="F5EFAF31"/>
    <w:rsid w:val="F7DC28EF"/>
    <w:rsid w:val="F8DBD41C"/>
    <w:rsid w:val="FDBF0D2F"/>
    <w:rsid w:val="FDFB5530"/>
    <w:rsid w:val="FFDFD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autoSpaceDE/>
      <w:autoSpaceDN/>
      <w:adjustRightInd/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adjustRightInd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/>
      <w:sz w:val="24"/>
      <w:szCs w:val="24"/>
      <w:lang w:val="zh-CN"/>
    </w:rPr>
  </w:style>
  <w:style w:type="paragraph" w:styleId="5">
    <w:name w:val="Title"/>
    <w:basedOn w:val="1"/>
    <w:next w:val="1"/>
    <w:link w:val="12"/>
    <w:qFormat/>
    <w:uiPriority w:val="10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Header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Footer Char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Title Char"/>
    <w:basedOn w:val="7"/>
    <w:link w:val="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customStyle="1" w:styleId="13">
    <w:name w:val="Plain Table 2"/>
    <w:basedOn w:val="6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14">
    <w:name w:val="Grid Table Light"/>
    <w:basedOn w:val="6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5">
    <w:name w:val="Plain Table 3"/>
    <w:basedOn w:val="6"/>
    <w:qFormat/>
    <w:uiPriority w:val="43"/>
    <w:tblStylePr w:type="firstRow">
      <w:rPr>
        <w:b/>
        <w:bCs/>
        <w:cap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E7E7E" w:themeColor="text1" w:themeTint="80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table" w:customStyle="1" w:styleId="16">
    <w:name w:val="Grid Table 1 Light"/>
    <w:basedOn w:val="6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7">
    <w:name w:val="ng-star-inserted"/>
    <w:basedOn w:val="7"/>
    <w:qFormat/>
    <w:uiPriority w:val="0"/>
  </w:style>
  <w:style w:type="table" w:customStyle="1" w:styleId="18">
    <w:name w:val="Plain Table 5"/>
    <w:basedOn w:val="6"/>
    <w:qFormat/>
    <w:uiPriority w:val="45"/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1416</Words>
  <Characters>1454</Characters>
  <Lines>13</Lines>
  <Paragraphs>3</Paragraphs>
  <TotalTime>19</TotalTime>
  <ScaleCrop>false</ScaleCrop>
  <LinksUpToDate>false</LinksUpToDate>
  <CharactersWithSpaces>1510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2025-07-09T05:08:00Z</dcterms:created>
  <dc:creator>Windows 用户</dc:creator>
  <cp:lastModifiedBy>苏志辉</cp:lastModifiedBy>
  <dcterms:modified xsi:type="dcterms:W3CDTF">2026-10-20T08:02:17Z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3543155D61A4CB6DE7568E6A693B52C1_43</vt:lpwstr>
  </property>
  <property fmtid="{D5CDD505-2E9C-101B-9397-08002B2CF9AE}" pid="4" name="KSOTemplateDocerSaveRecord">
    <vt:lpwstr>eyJoZGlkIjoiMjc2YTg3YWZmOTllNWJmYzBmM2UyZjJiNDI0N2UwNzgiLCJ1c2VySWQiOiIyNTk1MDAxOTIifQ==</vt:lpwstr>
  </property>
</Properties>
</file>