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5C65E">
      <w:pPr>
        <w:rPr>
          <w:rFonts w:hint="eastAsia" w:ascii="方正小标宋简体" w:hAnsi="华文中宋" w:eastAsia="方正小标宋简体"/>
          <w:bCs/>
          <w:sz w:val="22"/>
          <w:szCs w:val="36"/>
        </w:rPr>
      </w:pPr>
      <w:r>
        <w:rPr>
          <w:rFonts w:hint="eastAsia" w:ascii="方正小标宋简体" w:hAnsi="华文中宋" w:eastAsia="方正小标宋简体"/>
          <w:bCs/>
          <w:sz w:val="22"/>
          <w:szCs w:val="36"/>
        </w:rPr>
        <w:t>附件</w:t>
      </w:r>
    </w:p>
    <w:p w14:paraId="481EAFF1">
      <w:pPr>
        <w:jc w:val="center"/>
        <w:rPr>
          <w:rFonts w:hint="eastAsia"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采购技术指标及配置需求表</w:t>
      </w:r>
    </w:p>
    <w:tbl>
      <w:tblPr>
        <w:tblStyle w:val="4"/>
        <w:tblW w:w="99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8156"/>
      </w:tblGrid>
      <w:tr w14:paraId="20DF3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82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F89864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设备名称</w:t>
            </w:r>
          </w:p>
        </w:tc>
        <w:tc>
          <w:tcPr>
            <w:tcW w:w="81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EE184E">
            <w:pPr>
              <w:spacing w:line="312" w:lineRule="auto"/>
              <w:rPr>
                <w:rFonts w:ascii="楷体_GB2312" w:eastAsia="楷体_GB2312"/>
                <w:color w:val="FF0000"/>
                <w:sz w:val="28"/>
                <w:u w:color="000000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u w:color="000000"/>
                <w14:textFill>
                  <w14:solidFill>
                    <w14:schemeClr w14:val="tx1"/>
                  </w14:solidFill>
                </w14:textFill>
              </w:rPr>
              <w:t>临床队列样本多组学测序项目</w:t>
            </w:r>
          </w:p>
        </w:tc>
      </w:tr>
      <w:tr w14:paraId="4F15E8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3E5C6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技术指标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1DF26CAD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样本接收与前处理、DNA和RNA共提取：接收采购方提供的临床队列样本350例（包括但不限于肠道内容物，微生物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拭子等）。</w:t>
            </w:r>
          </w:p>
          <w:p w14:paraId="521FA512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完成样本登记、编号，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采用基于磁珠分离原理的病原微生物DNA/RNA共提取试剂盒对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微生物DNA和RNA共提取。</w:t>
            </w:r>
          </w:p>
          <w:p w14:paraId="23FAB80F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对提取产物逐样进行质量评价并出具报告。</w:t>
            </w:r>
          </w:p>
          <w:p w14:paraId="2DC7B64F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要求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核酸总产出量≥ 100 ng。</w:t>
            </w:r>
          </w:p>
          <w:p w14:paraId="6B1EC9FF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纯度比值1.5 ≤ A260/A280≤ 2.2，片段完整性高，主带清晰，无明显降解弥散带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3004A73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文库构建：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选用病原微生物专用建库试剂体系，对上述质控合格的核酸样本执行DNA与RNA的一体化共建库操作，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采用去rRNA建库策略去除核糖体RNA，完成双链cDNA合成并按MGI体系进行文库构建，逐文库开展库检。</w:t>
            </w:r>
          </w:p>
          <w:p w14:paraId="3AD4164E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要求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文库浓度≥2 ng/μL，文库总量≥ 100 ng。</w:t>
            </w:r>
          </w:p>
          <w:p w14:paraId="6EF1FBFE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文库插入片段平均长度在200 bp至600 bp，无明显非特异大片段峰，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rRNA残留率按不高于30%控制。</w:t>
            </w:r>
          </w:p>
          <w:p w14:paraId="30FC5511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测序：合格文库在DNBSEQ-T7超高通量测序平台上机，测序策略为双端150bp（PE150）。</w:t>
            </w:r>
          </w:p>
          <w:p w14:paraId="77A9B195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单样数据产出量不低于20G，数据量达成率不低于98%。</w:t>
            </w:r>
          </w:p>
          <w:p w14:paraId="5A3F5B14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数据质控：对下机原始数据进行质量检测，完成接头序列切除、低质量碱基修剪与低质量序列过滤，并剔除污染序列。</w:t>
            </w:r>
          </w:p>
          <w:p w14:paraId="2017FA86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质控结果应满足Q30比例不低于85%，有效数据过滤比例不低于90%，序列比对率不低于90%。</w:t>
            </w:r>
          </w:p>
          <w:p w14:paraId="17AC24AD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数据分析：按标准流程提供生物信息学分析，内容包含拼接、物种与功能注释（NR/NT、eggNOG/KEGG、GO、CAZy、ARG/VFDB 等）、基因丰度定量（TPM/RPM）、α/β多样性与排序（PCA/PCoA/NMDS）、差异基因/通路富集（FDR≤0.05，|log2FC|≥1）、关键功能贡献与相关性网络分析。要求交付 FASTQ/BAM、表达矩阵、统计图表及结题报告。</w:t>
            </w:r>
          </w:p>
          <w:p w14:paraId="003DEDB7">
            <w:pPr>
              <w:numPr>
                <w:ilvl w:val="0"/>
                <w:numId w:val="1"/>
              </w:numPr>
              <w:spacing w:line="312" w:lineRule="auto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数据交付与存储：完成全部样本数据的传输与交付，支持阿里云、华为云、硬盘等多种交付方式，由采购方选择。提供数据存储服务，数据有效保存期限不少于1年。</w:t>
            </w:r>
          </w:p>
          <w:p w14:paraId="752E1618">
            <w:pPr>
              <w:spacing w:line="312" w:lineRule="auto"/>
              <w:rPr>
                <w:rFonts w:ascii="仿宋_GB2312" w:eastAsia="仿宋_GB2312"/>
                <w:bCs/>
                <w:color w:val="FF0000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（15）项目周期：自采购方送样之日起，至完成提取、建库、测序及生物信息学分析并交付数据，总周期不超过30个自然日。</w:t>
            </w:r>
          </w:p>
        </w:tc>
      </w:tr>
      <w:tr w14:paraId="18079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E31D30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配置要求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7B3680BF">
            <w:pPr>
              <w:spacing w:line="0" w:lineRule="atLeast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（1）质量文件：能够提供服务范围内各项技术指标对应的质量控制报告。</w:t>
            </w:r>
          </w:p>
          <w:p w14:paraId="0AC519A7">
            <w:pPr>
              <w:spacing w:line="0" w:lineRule="atLeast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（2）售后支撑：具备售后服务与技术支撑能力，应答时间小于48小时，服务响应期不少于1年。</w:t>
            </w:r>
          </w:p>
          <w:p w14:paraId="51201AC6">
            <w:pPr>
              <w:spacing w:line="0" w:lineRule="atLeast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:u w:color="000000"/>
                <w14:textFill>
                  <w14:solidFill>
                    <w14:schemeClr w14:val="tx1"/>
                  </w14:solidFill>
                </w14:textFill>
              </w:rPr>
              <w:t>（3）平台能力：承接方自有DNBSEQ-T7测序平台不少于5台，具备大规模高通量测序数据产出能力。</w:t>
            </w:r>
          </w:p>
        </w:tc>
      </w:tr>
      <w:tr w14:paraId="17EEF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8E49C8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61E89A11">
            <w:pPr>
              <w:spacing w:line="312" w:lineRule="auto"/>
              <w:rPr>
                <w:rFonts w:ascii="仿宋_GB2312" w:eastAsia="仿宋_GB2312"/>
                <w:b/>
                <w:bCs/>
                <w:color w:val="FF0000"/>
                <w:sz w:val="24"/>
                <w:szCs w:val="28"/>
                <w:u w:color="000000"/>
              </w:rPr>
            </w:pPr>
          </w:p>
        </w:tc>
      </w:tr>
    </w:tbl>
    <w:p w14:paraId="1B9F78D9">
      <w:pPr>
        <w:spacing w:before="156" w:beforeLines="50"/>
        <w:rPr>
          <w:rFonts w:ascii="Times New Roman" w:eastAsia="楷体_GB2312"/>
          <w:kern w:val="2"/>
          <w:sz w:val="28"/>
        </w:rPr>
      </w:pPr>
      <w:bookmarkStart w:id="0" w:name="_GoBack"/>
      <w:bookmarkEnd w:id="0"/>
      <w:r>
        <w:rPr>
          <w:rFonts w:hint="eastAsia" w:ascii="仿宋_GB2312" w:eastAsia="仿宋_GB2312"/>
          <w:b/>
        </w:rPr>
        <w:t xml:space="preserve">                                 </w:t>
      </w:r>
    </w:p>
    <w:p w14:paraId="7198FF2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2B8EEE"/>
    <w:multiLevelType w:val="singleLevel"/>
    <w:tmpl w:val="DB2B8EE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CC"/>
    <w:rsid w:val="00075BC1"/>
    <w:rsid w:val="000C0F85"/>
    <w:rsid w:val="00142EE6"/>
    <w:rsid w:val="003B5B64"/>
    <w:rsid w:val="004D4DCC"/>
    <w:rsid w:val="00606487"/>
    <w:rsid w:val="00A0178E"/>
    <w:rsid w:val="00E75B26"/>
    <w:rsid w:val="00EC3212"/>
    <w:rsid w:val="00EC3295"/>
    <w:rsid w:val="00F27CAD"/>
    <w:rsid w:val="00FA5055"/>
    <w:rsid w:val="0FFF9D87"/>
    <w:rsid w:val="257A8325"/>
    <w:rsid w:val="3FFCA078"/>
    <w:rsid w:val="640373C2"/>
    <w:rsid w:val="6BBD77F3"/>
    <w:rsid w:val="75FE59EB"/>
    <w:rsid w:val="77DA4EC8"/>
    <w:rsid w:val="BEEFB80E"/>
    <w:rsid w:val="D9E29231"/>
    <w:rsid w:val="DB7B40CB"/>
    <w:rsid w:val="EEAF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963</Words>
  <Characters>1137</Characters>
  <Lines>29</Lines>
  <Paragraphs>28</Paragraphs>
  <TotalTime>1</TotalTime>
  <ScaleCrop>false</ScaleCrop>
  <LinksUpToDate>false</LinksUpToDate>
  <CharactersWithSpaces>1184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2026-10-20T09:04:00Z</dcterms:created>
  <dc:creator>Windows 用户</dc:creator>
  <cp:lastModifiedBy>晨晨墨染¹⁴¹³¹⁹</cp:lastModifiedBy>
  <dcterms:modified xsi:type="dcterms:W3CDTF">2026-10-20T09:27:22Z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EBCD206737024E21BF5F2C1C7145438D_13</vt:lpwstr>
  </property>
  <property fmtid="{D5CDD505-2E9C-101B-9397-08002B2CF9AE}" pid="4" name="KSOTemplateDocerSaveRecord">
    <vt:lpwstr>eyJoZGlkIjoiOGFiZWMzYzM0MWU5MTEyZGIwMmIwMzNiMTE5ZDc3Y2IiLCJ1c2VySWQiOiI0NDY1ODc3NDAifQ==</vt:lpwstr>
  </property>
</Properties>
</file>