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560" w:lineRule="exact"/>
        <w:ind w:firstLine="1980" w:firstLineChars="493"/>
        <w:rPr>
          <w:rFonts w:hint="eastAsia" w:ascii="仿宋_GB2312" w:hAnsi="仿宋_GB2312" w:eastAsia="仿宋_GB2312" w:cs="仿宋_GB2312"/>
          <w:b/>
          <w:sz w:val="40"/>
          <w:szCs w:val="44"/>
          <w:lang w:val="zh-CN"/>
        </w:rPr>
      </w:pPr>
      <w:r>
        <w:rPr>
          <w:rFonts w:hint="eastAsia" w:ascii="仿宋_GB2312" w:hAnsi="仿宋_GB2312" w:eastAsia="仿宋_GB2312" w:cs="仿宋_GB2312"/>
          <w:b/>
          <w:sz w:val="40"/>
          <w:szCs w:val="44"/>
          <w:lang w:val="zh-CN"/>
        </w:rPr>
        <w:t>第一部分投标供应商资格要求</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1.具有企（事）业法人资格（有行业特殊情况的银行、保险、电力、电信等法人分支机构，会计师、律师等非法人组织，行业协会等社会团体法人除外）；</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2.国有企业；事业单位；军队单位；成立三年以上的非外资（含港澳台）独资或控股企业；</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3.具有良好的商业信誉和健全的财务会计制度；</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4.具有履行合同所必需的设施设备、专业技术能力、质量保证体系和固定的生产经营、服务场地；</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5.有依法缴纳税收和社会保障资金的良好记录；</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6.参加军队采购活动前3年内，在经营活动中没有受到刑事处罚或者责令停产停业、吊销许可证或者执照、较大数额罚款（200万元以上）等重大违法记录；</w:t>
      </w:r>
    </w:p>
    <w:p>
      <w:pPr>
        <w:snapToGrid w:val="0"/>
        <w:spacing w:line="560" w:lineRule="exact"/>
        <w:ind w:firstLine="560" w:firstLineChars="200"/>
        <w:rPr>
          <w:rFonts w:hint="eastAsia" w:ascii="仿宋_GB2312" w:hAnsi="仿宋_GB2312" w:eastAsia="仿宋_GB2312" w:cs="仿宋_GB2312"/>
          <w:bCs/>
          <w:kern w:val="0"/>
          <w:sz w:val="28"/>
          <w:szCs w:val="28"/>
          <w:lang w:val="zh-CN"/>
        </w:rPr>
      </w:pPr>
      <w:r>
        <w:rPr>
          <w:rFonts w:hint="eastAsia" w:ascii="仿宋_GB2312" w:hAnsi="仿宋_GB2312" w:eastAsia="仿宋_GB2312" w:cs="仿宋_GB2312"/>
          <w:bCs/>
          <w:kern w:val="0"/>
          <w:sz w:val="28"/>
          <w:szCs w:val="28"/>
          <w:lang w:val="zh-CN"/>
        </w:rPr>
        <w:t>7.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autoSpaceDE w:val="0"/>
        <w:autoSpaceDN w:val="0"/>
        <w:adjustRightInd w:val="0"/>
        <w:snapToGrid w:val="0"/>
        <w:spacing w:line="560" w:lineRule="exact"/>
        <w:ind w:right="560" w:firstLine="5880" w:firstLineChars="2100"/>
        <w:rPr>
          <w:rFonts w:hint="eastAsia" w:ascii="仿宋_GB2312" w:hAnsi="仿宋_GB2312" w:eastAsia="仿宋_GB2312" w:cs="仿宋_GB2312"/>
          <w:sz w:val="28"/>
          <w:szCs w:val="32"/>
          <w:lang w:val="zh-CN"/>
        </w:rPr>
        <w:sectPr>
          <w:footerReference r:id="rId5" w:type="first"/>
          <w:footerReference r:id="rId3" w:type="default"/>
          <w:footerReference r:id="rId4" w:type="even"/>
          <w:pgSz w:w="11906" w:h="16838"/>
          <w:pgMar w:top="1701" w:right="1418" w:bottom="1418" w:left="1418" w:header="567" w:footer="567" w:gutter="0"/>
          <w:pgNumType w:start="0"/>
          <w:cols w:space="425" w:num="1"/>
          <w:titlePg/>
          <w:docGrid w:type="lines" w:linePitch="312" w:charSpace="0"/>
        </w:sectPr>
      </w:pPr>
    </w:p>
    <w:p>
      <w:pPr>
        <w:autoSpaceDE w:val="0"/>
        <w:autoSpaceDN w:val="0"/>
        <w:adjustRightInd w:val="0"/>
        <w:spacing w:line="560" w:lineRule="exact"/>
        <w:jc w:val="center"/>
        <w:outlineLvl w:val="0"/>
        <w:rPr>
          <w:rFonts w:hint="eastAsia" w:ascii="仿宋_GB2312" w:hAnsi="仿宋_GB2312" w:eastAsia="仿宋_GB2312" w:cs="仿宋_GB2312"/>
          <w:b/>
          <w:sz w:val="40"/>
          <w:szCs w:val="44"/>
          <w:lang w:val="zh-CN"/>
        </w:rPr>
      </w:pPr>
      <w:bookmarkStart w:id="0" w:name="_Toc285613439"/>
      <w:r>
        <w:rPr>
          <w:rFonts w:hint="eastAsia" w:ascii="仿宋_GB2312" w:hAnsi="仿宋_GB2312" w:eastAsia="仿宋_GB2312" w:cs="仿宋_GB2312"/>
          <w:b/>
          <w:sz w:val="40"/>
          <w:szCs w:val="44"/>
          <w:lang w:val="zh-CN"/>
        </w:rPr>
        <w:t>第二部分项目技术及商务要求</w:t>
      </w:r>
      <w:bookmarkEnd w:id="0"/>
    </w:p>
    <w:p>
      <w:pPr>
        <w:autoSpaceDE w:val="0"/>
        <w:autoSpaceDN w:val="0"/>
        <w:adjustRightInd w:val="0"/>
        <w:spacing w:before="62" w:after="62" w:line="560" w:lineRule="exact"/>
        <w:ind w:firstLine="560" w:firstLineChars="200"/>
        <w:outlineLvl w:val="0"/>
        <w:rPr>
          <w:rFonts w:hint="eastAsia" w:ascii="仿宋_GB2312" w:hAnsi="仿宋_GB2312" w:eastAsia="仿宋_GB2312" w:cs="仿宋_GB2312"/>
          <w:sz w:val="28"/>
          <w:szCs w:val="32"/>
          <w:lang w:val="zh-CN"/>
        </w:rPr>
      </w:pPr>
      <w:bookmarkStart w:id="1" w:name="_Toc285613440"/>
      <w:r>
        <w:rPr>
          <w:rFonts w:hint="eastAsia" w:ascii="仿宋_GB2312" w:hAnsi="仿宋_GB2312" w:eastAsia="仿宋_GB2312" w:cs="仿宋_GB2312"/>
          <w:sz w:val="28"/>
          <w:szCs w:val="32"/>
          <w:lang w:val="zh-CN"/>
        </w:rPr>
        <w:t>一、</w:t>
      </w:r>
      <w:bookmarkEnd w:id="1"/>
      <w:r>
        <w:rPr>
          <w:rFonts w:hint="eastAsia" w:ascii="仿宋_GB2312" w:hAnsi="仿宋_GB2312" w:eastAsia="仿宋_GB2312" w:cs="仿宋_GB2312"/>
          <w:sz w:val="28"/>
          <w:szCs w:val="32"/>
          <w:lang w:val="zh-CN"/>
        </w:rPr>
        <w:t>货物内容及配置要求</w:t>
      </w:r>
    </w:p>
    <w:tbl>
      <w:tblPr>
        <w:tblStyle w:val="6"/>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2857"/>
        <w:gridCol w:w="1418"/>
        <w:gridCol w:w="992"/>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1671" w:type="dxa"/>
            <w:vAlign w:val="center"/>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包号</w:t>
            </w:r>
          </w:p>
        </w:tc>
        <w:tc>
          <w:tcPr>
            <w:tcW w:w="2857" w:type="dxa"/>
            <w:vAlign w:val="center"/>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货物名称</w:t>
            </w:r>
          </w:p>
        </w:tc>
        <w:tc>
          <w:tcPr>
            <w:tcW w:w="1418" w:type="dxa"/>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计量单位</w:t>
            </w:r>
          </w:p>
        </w:tc>
        <w:tc>
          <w:tcPr>
            <w:tcW w:w="992" w:type="dxa"/>
            <w:vAlign w:val="center"/>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数量</w:t>
            </w:r>
          </w:p>
        </w:tc>
        <w:tc>
          <w:tcPr>
            <w:tcW w:w="1605" w:type="dxa"/>
            <w:vAlign w:val="center"/>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1671" w:type="dxa"/>
            <w:vAlign w:val="center"/>
          </w:tcPr>
          <w:p>
            <w:pPr>
              <w:spacing w:line="5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第一包</w:t>
            </w:r>
          </w:p>
        </w:tc>
        <w:tc>
          <w:tcPr>
            <w:tcW w:w="2857" w:type="dxa"/>
            <w:vAlign w:val="center"/>
          </w:tcPr>
          <w:p>
            <w:pPr>
              <w:autoSpaceDE w:val="0"/>
              <w:autoSpaceDN w:val="0"/>
              <w:adjustRightInd w:val="0"/>
              <w:snapToGrid w:val="0"/>
              <w:spacing w:line="300" w:lineRule="exact"/>
              <w:jc w:val="center"/>
              <w:rPr>
                <w:rFonts w:hint="eastAsia" w:ascii="仿宋_GB2312" w:hAnsi="仿宋_GB2312" w:eastAsia="仿宋_GB2312" w:cs="仿宋_GB2312"/>
                <w:bCs/>
                <w:kern w:val="0"/>
                <w:sz w:val="24"/>
                <w:szCs w:val="28"/>
              </w:rPr>
            </w:pPr>
            <w:r>
              <w:rPr>
                <w:rFonts w:hint="eastAsia" w:ascii="仿宋_GB2312" w:hAnsi="仿宋_GB2312" w:eastAsia="仿宋_GB2312" w:cs="仿宋_GB2312"/>
                <w:bCs/>
                <w:kern w:val="0"/>
                <w:sz w:val="24"/>
                <w:szCs w:val="28"/>
              </w:rPr>
              <w:t>自动滤料仪</w:t>
            </w:r>
          </w:p>
        </w:tc>
        <w:tc>
          <w:tcPr>
            <w:tcW w:w="1418" w:type="dxa"/>
            <w:vAlign w:val="center"/>
          </w:tcPr>
          <w:p>
            <w:pPr>
              <w:autoSpaceDE w:val="0"/>
              <w:autoSpaceDN w:val="0"/>
              <w:adjustRightInd w:val="0"/>
              <w:snapToGrid w:val="0"/>
              <w:spacing w:line="36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套</w:t>
            </w:r>
          </w:p>
        </w:tc>
        <w:tc>
          <w:tcPr>
            <w:tcW w:w="992" w:type="dxa"/>
            <w:vAlign w:val="center"/>
          </w:tcPr>
          <w:p>
            <w:pPr>
              <w:autoSpaceDE w:val="0"/>
              <w:autoSpaceDN w:val="0"/>
              <w:adjustRightInd w:val="0"/>
              <w:snapToGrid w:val="0"/>
              <w:spacing w:line="360" w:lineRule="exact"/>
              <w:jc w:val="center"/>
              <w:rPr>
                <w:rFonts w:hint="eastAsia" w:ascii="仿宋_GB2312" w:hAnsi="仿宋_GB2312" w:eastAsia="仿宋_GB2312" w:cs="仿宋_GB2312"/>
                <w:bCs/>
                <w:kern w:val="0"/>
                <w:sz w:val="24"/>
                <w:szCs w:val="28"/>
                <w:lang w:val="zh-CN"/>
              </w:rPr>
            </w:pPr>
            <w:r>
              <w:rPr>
                <w:rFonts w:hint="eastAsia" w:ascii="仿宋_GB2312" w:hAnsi="仿宋_GB2312" w:eastAsia="仿宋_GB2312" w:cs="仿宋_GB2312"/>
                <w:bCs/>
                <w:kern w:val="0"/>
                <w:sz w:val="24"/>
                <w:szCs w:val="28"/>
                <w:lang w:val="zh-CN"/>
              </w:rPr>
              <w:t>1</w:t>
            </w:r>
          </w:p>
        </w:tc>
        <w:tc>
          <w:tcPr>
            <w:tcW w:w="1605" w:type="dxa"/>
            <w:vAlign w:val="center"/>
          </w:tcPr>
          <w:p>
            <w:pPr>
              <w:autoSpaceDE w:val="0"/>
              <w:autoSpaceDN w:val="0"/>
              <w:adjustRightInd w:val="0"/>
              <w:snapToGrid w:val="0"/>
              <w:spacing w:line="360" w:lineRule="exact"/>
              <w:jc w:val="center"/>
              <w:rPr>
                <w:rFonts w:hint="eastAsia" w:ascii="仿宋_GB2312" w:hAnsi="仿宋_GB2312" w:eastAsia="仿宋_GB2312" w:cs="仿宋_GB2312"/>
                <w:bCs/>
                <w:kern w:val="0"/>
                <w:sz w:val="24"/>
                <w:szCs w:val="28"/>
                <w:lang w:val="zh-CN"/>
              </w:rPr>
            </w:pPr>
          </w:p>
        </w:tc>
      </w:tr>
    </w:tbl>
    <w:p>
      <w:pPr>
        <w:autoSpaceDE w:val="0"/>
        <w:autoSpaceDN w:val="0"/>
        <w:adjustRightInd w:val="0"/>
        <w:spacing w:line="560" w:lineRule="exact"/>
        <w:ind w:firstLine="560" w:firstLineChars="200"/>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投标供应商所投产品须是全新的、未使用过的成熟产品，质量性能须符合国际标准、国家标准、行业标准、企业标准及招标文件要求。具体配置内容及要求如下：</w:t>
      </w:r>
    </w:p>
    <w:p>
      <w:pPr>
        <w:autoSpaceDE w:val="0"/>
        <w:autoSpaceDN w:val="0"/>
        <w:adjustRightInd w:val="0"/>
        <w:spacing w:line="560" w:lineRule="exact"/>
        <w:ind w:firstLine="560" w:firstLineChars="200"/>
        <w:rPr>
          <w:rFonts w:hint="eastAsia" w:ascii="仿宋_GB2312" w:hAnsi="仿宋_GB2312" w:eastAsia="仿宋_GB2312" w:cs="仿宋_GB2312"/>
          <w:sz w:val="28"/>
          <w:szCs w:val="32"/>
          <w:lang w:eastAsia="zh-CN"/>
        </w:rPr>
      </w:pPr>
      <w:r>
        <w:rPr>
          <w:rFonts w:hint="eastAsia" w:ascii="仿宋_GB2312" w:hAnsi="仿宋_GB2312" w:eastAsia="仿宋_GB2312" w:cs="仿宋_GB2312"/>
          <w:sz w:val="28"/>
          <w:szCs w:val="32"/>
          <w:lang w:val="en-US" w:eastAsia="zh-CN"/>
        </w:rPr>
        <w:t>1.</w:t>
      </w:r>
      <w:r>
        <w:rPr>
          <w:rFonts w:hint="eastAsia" w:ascii="仿宋_GB2312" w:hAnsi="仿宋_GB2312" w:eastAsia="仿宋_GB2312" w:cs="仿宋_GB2312"/>
          <w:sz w:val="28"/>
          <w:szCs w:val="32"/>
        </w:rPr>
        <w:t>自动滤料仪1台</w:t>
      </w:r>
      <w:r>
        <w:rPr>
          <w:rFonts w:hint="eastAsia" w:ascii="仿宋_GB2312" w:hAnsi="仿宋_GB2312" w:eastAsia="仿宋_GB2312" w:cs="仿宋_GB2312"/>
          <w:sz w:val="28"/>
          <w:szCs w:val="32"/>
          <w:lang w:eastAsia="zh-CN"/>
        </w:rPr>
        <w:t>。</w:t>
      </w:r>
    </w:p>
    <w:p>
      <w:pPr>
        <w:numPr>
          <w:ilvl w:val="0"/>
          <w:numId w:val="0"/>
        </w:numPr>
        <w:autoSpaceDE w:val="0"/>
        <w:autoSpaceDN w:val="0"/>
        <w:adjustRightInd w:val="0"/>
        <w:spacing w:line="56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32"/>
        </w:rPr>
        <w:t>注意：</w:t>
      </w:r>
      <w:r>
        <w:rPr>
          <w:rFonts w:hint="eastAsia" w:ascii="仿宋_GB2312" w:hAnsi="仿宋_GB2312" w:eastAsia="仿宋_GB2312" w:cs="仿宋_GB2312"/>
          <w:sz w:val="28"/>
          <w:szCs w:val="32"/>
        </w:rPr>
        <w:t>投标供应商须按以上配置要求，在投标书的《投标货物一览表》中，逐项列明投标产品各部件/组件的具体信息。如投标产品配置内容不符合此处的配置内容要求，将判定投标文件无效。</w:t>
      </w:r>
    </w:p>
    <w:p>
      <w:pPr>
        <w:autoSpaceDE w:val="0"/>
        <w:autoSpaceDN w:val="0"/>
        <w:adjustRightInd w:val="0"/>
        <w:spacing w:before="62" w:after="62" w:line="560" w:lineRule="exact"/>
        <w:ind w:firstLine="560" w:firstLineChars="200"/>
        <w:outlineLvl w:val="0"/>
        <w:rPr>
          <w:rFonts w:hint="eastAsia" w:ascii="仿宋_GB2312" w:hAnsi="仿宋_GB2312" w:eastAsia="仿宋_GB2312" w:cs="仿宋_GB2312"/>
          <w:b/>
          <w:sz w:val="28"/>
          <w:szCs w:val="32"/>
        </w:rPr>
      </w:pPr>
      <w:r>
        <w:rPr>
          <w:rFonts w:hint="eastAsia" w:ascii="仿宋_GB2312" w:hAnsi="仿宋_GB2312" w:eastAsia="仿宋_GB2312" w:cs="仿宋_GB2312"/>
          <w:sz w:val="28"/>
          <w:szCs w:val="32"/>
          <w:lang w:val="zh-CN"/>
        </w:rPr>
        <w:t>二、技术参数要求</w:t>
      </w:r>
      <w:r>
        <w:rPr>
          <w:rFonts w:hint="eastAsia" w:ascii="仿宋_GB2312" w:hAnsi="仿宋_GB2312" w:eastAsia="仿宋_GB2312" w:cs="仿宋_GB2312"/>
          <w:sz w:val="28"/>
          <w:szCs w:val="32"/>
        </w:rPr>
        <w:t>（</w:t>
      </w:r>
      <w:r>
        <w:rPr>
          <w:rFonts w:hint="eastAsia" w:ascii="仿宋_GB2312" w:hAnsi="仿宋_GB2312" w:eastAsia="仿宋_GB2312" w:cs="仿宋_GB2312"/>
          <w:b/>
          <w:sz w:val="28"/>
          <w:szCs w:val="32"/>
        </w:rPr>
        <w:t>技术指标（参数），有1项未响应或不满足即按无效投标处理；“★、*”号条款为重要指标（参数）； “★、*”号及一般指标（参数）均需提供产品技术支持资料（包括制造商公开发布的资料（含制造商出具的产品规格表、产品宣传彩页、技术白皮书、说明书等或检测机构出具的检测报告等））并加盖投标供应商公章。外文资料须译成中文并加盖投标供应商公章。</w:t>
      </w:r>
      <w:r>
        <w:rPr>
          <w:rFonts w:hint="eastAsia" w:ascii="仿宋_GB2312" w:hAnsi="仿宋_GB2312" w:eastAsia="仿宋_GB2312" w:cs="仿宋_GB2312"/>
          <w:sz w:val="28"/>
          <w:szCs w:val="32"/>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（一）整机参数</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1. 外形尺寸 (宽 × 深 × 高)：≤1000mm×700mm×1</w:t>
      </w:r>
      <w:r>
        <w:rPr>
          <w:rFonts w:hint="eastAsia" w:ascii="仿宋_GB2312" w:hAnsi="仿宋_GB2312" w:eastAsia="仿宋_GB2312" w:cs="仿宋_GB2312"/>
          <w:bCs/>
          <w:sz w:val="28"/>
          <w:szCs w:val="32"/>
          <w:lang w:val="en-US" w:eastAsia="zh-CN"/>
        </w:rPr>
        <w:t>6</w:t>
      </w:r>
      <w:r>
        <w:rPr>
          <w:rFonts w:hint="eastAsia" w:ascii="仿宋_GB2312" w:hAnsi="仿宋_GB2312" w:eastAsia="仿宋_GB2312" w:cs="仿宋_GB2312"/>
          <w:bCs/>
          <w:sz w:val="28"/>
          <w:szCs w:val="32"/>
        </w:rPr>
        <w:t>00mm</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2. 主机净重：≤</w:t>
      </w:r>
      <w:r>
        <w:rPr>
          <w:rFonts w:hint="eastAsia" w:ascii="仿宋_GB2312" w:hAnsi="仿宋_GB2312" w:eastAsia="仿宋_GB2312" w:cs="仿宋_GB2312"/>
          <w:bCs/>
          <w:sz w:val="28"/>
          <w:szCs w:val="32"/>
          <w:lang w:val="en-US" w:eastAsia="zh-CN"/>
        </w:rPr>
        <w:t>200</w:t>
      </w:r>
      <w:r>
        <w:rPr>
          <w:rFonts w:hint="eastAsia" w:ascii="仿宋_GB2312" w:hAnsi="仿宋_GB2312" w:eastAsia="仿宋_GB2312" w:cs="仿宋_GB2312"/>
          <w:bCs/>
          <w:sz w:val="28"/>
          <w:szCs w:val="32"/>
        </w:rPr>
        <w:t xml:space="preserve"> kg</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3. 主机电源：220VAC 50Hz</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*4. 过滤效率检测范围：0～99.999%</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*5. 流量调节范围：0～100 L/min</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6. 气动夹具与受试样有效面积：≥</w:t>
      </w:r>
      <w:r>
        <w:rPr>
          <w:rFonts w:hint="eastAsia" w:ascii="仿宋_GB2312" w:hAnsi="仿宋_GB2312" w:eastAsia="仿宋_GB2312" w:cs="仿宋_GB2312"/>
          <w:bCs/>
          <w:sz w:val="28"/>
          <w:szCs w:val="32"/>
          <w:lang w:val="en-US" w:eastAsia="zh-CN"/>
        </w:rPr>
        <w:t>10</w:t>
      </w:r>
      <w:r>
        <w:rPr>
          <w:rFonts w:hint="eastAsia" w:ascii="仿宋_GB2312" w:hAnsi="仿宋_GB2312" w:eastAsia="仿宋_GB2312" w:cs="仿宋_GB2312"/>
          <w:bCs/>
          <w:sz w:val="28"/>
          <w:szCs w:val="32"/>
        </w:rPr>
        <w:t>0 cm²。</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（二）气溶胶发生单元</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1. 溶液容量：≥500 ml</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2. 可发生气溶胶介质：盐溶液、非荧光颗粒物溶液、荧光颗粒物溶液</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3. 输出颗粒物浓度：</w:t>
      </w:r>
      <w:r>
        <w:rPr>
          <w:rFonts w:hint="eastAsia" w:ascii="仿宋_GB2312" w:hAnsi="仿宋_GB2312" w:eastAsia="仿宋_GB2312" w:cs="仿宋_GB2312"/>
          <w:bCs/>
          <w:sz w:val="28"/>
          <w:szCs w:val="32"/>
          <w:lang w:eastAsia="zh-CN"/>
        </w:rPr>
        <w:t>≥</w:t>
      </w:r>
      <w:r>
        <w:rPr>
          <w:rFonts w:hint="eastAsia" w:ascii="仿宋_GB2312" w:hAnsi="仿宋_GB2312" w:eastAsia="仿宋_GB2312" w:cs="仿宋_GB2312"/>
          <w:bCs/>
          <w:sz w:val="28"/>
          <w:szCs w:val="32"/>
        </w:rPr>
        <w:t>20</w:t>
      </w:r>
      <w:r>
        <w:rPr>
          <w:rFonts w:hint="eastAsia" w:ascii="仿宋_GB2312" w:hAnsi="仿宋_GB2312" w:eastAsia="仿宋_GB2312" w:cs="仿宋_GB2312"/>
          <w:bCs/>
          <w:sz w:val="28"/>
          <w:szCs w:val="32"/>
          <w:lang w:val="en-US" w:eastAsia="zh-CN"/>
        </w:rPr>
        <w:t xml:space="preserve"> </w:t>
      </w:r>
      <w:r>
        <w:rPr>
          <w:rFonts w:hint="eastAsia" w:ascii="仿宋_GB2312" w:hAnsi="仿宋_GB2312" w:eastAsia="仿宋_GB2312" w:cs="仿宋_GB2312"/>
          <w:bCs/>
          <w:sz w:val="28"/>
          <w:szCs w:val="32"/>
        </w:rPr>
        <w:t>mg/m³</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lang w:eastAsia="zh-CN"/>
        </w:rPr>
        <w:t>4. 颗粒粒径分布几何标准偏差：≤2；</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lang w:eastAsia="zh-CN"/>
        </w:rPr>
        <w:t>5. 发生器供气流量：≥</w:t>
      </w:r>
      <w:r>
        <w:rPr>
          <w:rFonts w:hint="eastAsia" w:ascii="仿宋_GB2312" w:hAnsi="仿宋_GB2312" w:eastAsia="仿宋_GB2312" w:cs="仿宋_GB2312"/>
          <w:bCs/>
          <w:sz w:val="28"/>
          <w:szCs w:val="32"/>
          <w:lang w:val="en-US" w:eastAsia="zh-CN"/>
        </w:rPr>
        <w:t>10</w:t>
      </w:r>
      <w:r>
        <w:rPr>
          <w:rFonts w:hint="eastAsia" w:ascii="仿宋_GB2312" w:hAnsi="仿宋_GB2312" w:eastAsia="仿宋_GB2312" w:cs="仿宋_GB2312"/>
          <w:bCs/>
          <w:sz w:val="28"/>
          <w:szCs w:val="32"/>
          <w:lang w:eastAsia="zh-CN"/>
        </w:rPr>
        <w:t xml:space="preserve"> </w:t>
      </w:r>
      <w:r>
        <w:rPr>
          <w:rFonts w:hint="eastAsia" w:ascii="仿宋_GB2312" w:hAnsi="仿宋_GB2312" w:eastAsia="仿宋_GB2312" w:cs="仿宋_GB2312"/>
          <w:bCs/>
          <w:sz w:val="28"/>
          <w:szCs w:val="32"/>
          <w:lang w:val="en-US" w:eastAsia="zh-CN"/>
        </w:rPr>
        <w:t>m</w:t>
      </w:r>
      <w:bookmarkStart w:id="3" w:name="_GoBack"/>
      <w:bookmarkEnd w:id="3"/>
      <w:r>
        <w:rPr>
          <w:rFonts w:hint="eastAsia" w:ascii="仿宋_GB2312" w:hAnsi="仿宋_GB2312" w:eastAsia="仿宋_GB2312" w:cs="仿宋_GB2312"/>
          <w:bCs/>
          <w:sz w:val="28"/>
          <w:szCs w:val="32"/>
          <w:lang w:eastAsia="zh-CN"/>
        </w:rPr>
        <w:t>L/min。</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（三）数据采集单元</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1. 热式质量流量计：精度 1 级，具备自动调节、闭环流量控制功能</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2. 压差传感器：量程 0～500 Pa，精度 1 级；</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3. 温湿度传感器：测温范围-40～120 ℃，湿度</w:t>
      </w:r>
      <w:r>
        <w:rPr>
          <w:rFonts w:hint="eastAsia" w:ascii="仿宋_GB2312" w:hAnsi="仿宋_GB2312" w:eastAsia="仿宋_GB2312" w:cs="仿宋_GB2312"/>
          <w:bCs/>
          <w:sz w:val="28"/>
          <w:szCs w:val="32"/>
          <w:lang w:val="en-US" w:eastAsia="zh-CN"/>
        </w:rPr>
        <w:t>测量</w:t>
      </w:r>
      <w:r>
        <w:rPr>
          <w:rFonts w:hint="eastAsia" w:ascii="仿宋_GB2312" w:hAnsi="仿宋_GB2312" w:eastAsia="仿宋_GB2312" w:cs="仿宋_GB2312"/>
          <w:bCs/>
          <w:sz w:val="28"/>
          <w:szCs w:val="32"/>
        </w:rPr>
        <w:t>范围 5%～95% RH；精度 1.5 级</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*4.多通道气溶胶计数器可测粒径包括：</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常规粒径通道</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0.3μm、0.5μm、1.0μm、2.0μm、2.5μm、3.0μm、5.0μm、8.0μm</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荧光粒径通道</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0.3μm、0.5μm、1.0μm、2.0μm、2.5μm、3.0μm、5.0μm、8.0μm</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rPr>
        <w:t>（四）工控单元</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lang w:eastAsia="zh-CN"/>
        </w:rPr>
      </w:pPr>
      <w:r>
        <w:rPr>
          <w:rFonts w:hint="eastAsia" w:ascii="仿宋_GB2312" w:hAnsi="仿宋_GB2312" w:eastAsia="仿宋_GB2312" w:cs="仿宋_GB2312"/>
          <w:bCs/>
          <w:sz w:val="28"/>
          <w:szCs w:val="32"/>
        </w:rPr>
        <w:t>1. 工控软件运行系统：Windows 系统</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0" w:firstLineChars="200"/>
        <w:rPr>
          <w:rFonts w:hint="eastAsia" w:ascii="仿宋_GB2312" w:hAnsi="仿宋_GB2312" w:eastAsia="仿宋_GB2312" w:cs="仿宋_GB2312"/>
          <w:bCs/>
          <w:sz w:val="28"/>
          <w:szCs w:val="32"/>
        </w:rPr>
      </w:pPr>
      <w:r>
        <w:rPr>
          <w:rFonts w:hint="eastAsia" w:ascii="仿宋_GB2312" w:hAnsi="仿宋_GB2312" w:eastAsia="仿宋_GB2312" w:cs="仿宋_GB2312"/>
          <w:bCs/>
          <w:sz w:val="28"/>
          <w:szCs w:val="32"/>
          <w:lang w:val="en-US" w:eastAsia="zh-CN"/>
        </w:rPr>
        <w:t>2</w:t>
      </w:r>
      <w:r>
        <w:rPr>
          <w:rFonts w:hint="eastAsia" w:ascii="仿宋_GB2312" w:hAnsi="仿宋_GB2312" w:eastAsia="仿宋_GB2312" w:cs="仿宋_GB2312"/>
          <w:bCs/>
          <w:sz w:val="28"/>
          <w:szCs w:val="32"/>
        </w:rPr>
        <w:t>. 本地数据存储容量：≥50000 条</w:t>
      </w:r>
      <w:r>
        <w:rPr>
          <w:rFonts w:hint="eastAsia" w:ascii="仿宋_GB2312" w:hAnsi="仿宋_GB2312" w:eastAsia="仿宋_GB2312" w:cs="仿宋_GB2312"/>
          <w:bCs/>
          <w:sz w:val="28"/>
          <w:szCs w:val="32"/>
          <w:lang w:eastAsia="zh-CN"/>
        </w:rPr>
        <w:t>。</w:t>
      </w:r>
    </w:p>
    <w:p>
      <w:pPr>
        <w:autoSpaceDE w:val="0"/>
        <w:autoSpaceDN w:val="0"/>
        <w:adjustRightInd w:val="0"/>
        <w:spacing w:line="56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32"/>
        </w:rPr>
        <w:t>注意：</w:t>
      </w:r>
      <w:r>
        <w:rPr>
          <w:rFonts w:hint="eastAsia" w:ascii="仿宋_GB2312" w:hAnsi="仿宋_GB2312" w:eastAsia="仿宋_GB2312" w:cs="仿宋_GB2312"/>
          <w:sz w:val="28"/>
          <w:szCs w:val="32"/>
        </w:rPr>
        <w:t>投标供应商应当对</w:t>
      </w:r>
      <w:r>
        <w:rPr>
          <w:rFonts w:hint="eastAsia" w:ascii="仿宋_GB2312" w:hAnsi="仿宋_GB2312" w:eastAsia="仿宋_GB2312" w:cs="仿宋_GB2312"/>
          <w:sz w:val="28"/>
          <w:szCs w:val="32"/>
          <w:lang w:val="zh-CN"/>
        </w:rPr>
        <w:t>技术参数要求</w:t>
      </w:r>
      <w:r>
        <w:rPr>
          <w:rFonts w:hint="eastAsia" w:ascii="仿宋_GB2312" w:hAnsi="仿宋_GB2312" w:eastAsia="仿宋_GB2312" w:cs="仿宋_GB2312"/>
          <w:sz w:val="28"/>
          <w:szCs w:val="32"/>
        </w:rPr>
        <w:t>，逐条如实填写所投物资的具体技术参数。技术指标参数响应栏如果原文完全复制招标文件技术要求，作无效投标处理。</w:t>
      </w:r>
    </w:p>
    <w:p>
      <w:pPr>
        <w:autoSpaceDE w:val="0"/>
        <w:autoSpaceDN w:val="0"/>
        <w:adjustRightInd w:val="0"/>
        <w:spacing w:before="62" w:after="62" w:line="560" w:lineRule="exact"/>
        <w:ind w:firstLine="560" w:firstLineChars="200"/>
        <w:outlineLvl w:val="0"/>
        <w:rPr>
          <w:rFonts w:hint="eastAsia" w:ascii="仿宋_GB2312" w:hAnsi="仿宋_GB2312" w:eastAsia="仿宋_GB2312" w:cs="仿宋_GB2312"/>
          <w:sz w:val="28"/>
          <w:szCs w:val="32"/>
        </w:rPr>
      </w:pPr>
      <w:bookmarkStart w:id="2" w:name="_Toc285613446"/>
      <w:r>
        <w:rPr>
          <w:rFonts w:hint="eastAsia" w:ascii="仿宋_GB2312" w:hAnsi="仿宋_GB2312" w:eastAsia="仿宋_GB2312" w:cs="仿宋_GB2312"/>
          <w:sz w:val="28"/>
          <w:szCs w:val="32"/>
          <w:lang w:val="zh-CN"/>
        </w:rPr>
        <w:t>三、商务要求</w:t>
      </w:r>
      <w:r>
        <w:rPr>
          <w:rFonts w:hint="eastAsia" w:ascii="仿宋_GB2312" w:hAnsi="仿宋_GB2312" w:eastAsia="仿宋_GB2312" w:cs="仿宋_GB2312"/>
          <w:sz w:val="28"/>
          <w:szCs w:val="32"/>
        </w:rPr>
        <w:t>（</w:t>
      </w:r>
      <w:r>
        <w:rPr>
          <w:rFonts w:hint="eastAsia" w:ascii="仿宋_GB2312" w:hAnsi="仿宋_GB2312" w:eastAsia="仿宋_GB2312" w:cs="仿宋_GB2312"/>
          <w:b/>
          <w:sz w:val="28"/>
          <w:szCs w:val="32"/>
        </w:rPr>
        <w:t>投标供应商对第（一）至（六）项内容进行应答；对第（七）项内容进行应答；“★”号条款未响应，投标无效</w:t>
      </w:r>
      <w:r>
        <w:rPr>
          <w:rFonts w:hint="eastAsia" w:ascii="仿宋_GB2312" w:hAnsi="仿宋_GB2312" w:eastAsia="仿宋_GB2312" w:cs="仿宋_GB2312"/>
          <w:sz w:val="28"/>
          <w:szCs w:val="32"/>
        </w:rPr>
        <w:t>）</w:t>
      </w:r>
    </w:p>
    <w:p>
      <w:pPr>
        <w:autoSpaceDE w:val="0"/>
        <w:autoSpaceDN w:val="0"/>
        <w:adjustRightInd w:val="0"/>
        <w:spacing w:line="560" w:lineRule="exact"/>
        <w:ind w:firstLine="562" w:firstLineChars="200"/>
        <w:rPr>
          <w:rFonts w:hint="eastAsia" w:ascii="仿宋_GB2312" w:hAnsi="仿宋_GB2312" w:eastAsia="仿宋_GB2312" w:cs="仿宋_GB2312"/>
          <w:b/>
          <w:sz w:val="28"/>
          <w:szCs w:val="32"/>
        </w:rPr>
      </w:pPr>
      <w:r>
        <w:rPr>
          <w:rFonts w:hint="eastAsia" w:ascii="仿宋_GB2312" w:hAnsi="仿宋_GB2312" w:eastAsia="仿宋_GB2312" w:cs="仿宋_GB2312"/>
          <w:b/>
          <w:sz w:val="28"/>
          <w:szCs w:val="32"/>
        </w:rPr>
        <w:t>★（一）报价要求</w:t>
      </w:r>
    </w:p>
    <w:p>
      <w:pPr>
        <w:autoSpaceDE w:val="0"/>
        <w:autoSpaceDN w:val="0"/>
        <w:adjustRightInd w:val="0"/>
        <w:spacing w:line="560" w:lineRule="exact"/>
        <w:ind w:firstLine="840" w:firstLineChars="300"/>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含税报价：投标供应商以人民币报价，为项目现场完税价。进口产品报价为出厂价、境内外运输费、保险费、外贸相关手续费用、关税、增值税、其它税费及相关伴随费用之和。国内产品报价为出厂价（含增值税和其它税费）及国内运输费、保险费和其它伴随费用之和。</w:t>
      </w:r>
    </w:p>
    <w:p>
      <w:pPr>
        <w:autoSpaceDE w:val="0"/>
        <w:autoSpaceDN w:val="0"/>
        <w:adjustRightInd w:val="0"/>
        <w:spacing w:line="560" w:lineRule="exact"/>
        <w:ind w:firstLine="562" w:firstLineChars="200"/>
        <w:rPr>
          <w:rFonts w:hint="eastAsia" w:ascii="仿宋_GB2312" w:hAnsi="仿宋_GB2312" w:eastAsia="仿宋_GB2312" w:cs="仿宋_GB2312"/>
          <w:b/>
          <w:sz w:val="28"/>
          <w:szCs w:val="32"/>
        </w:rPr>
      </w:pPr>
      <w:r>
        <w:rPr>
          <w:rFonts w:hint="eastAsia" w:ascii="仿宋_GB2312" w:hAnsi="仿宋_GB2312" w:eastAsia="仿宋_GB2312" w:cs="仿宋_GB2312"/>
          <w:b/>
          <w:sz w:val="28"/>
          <w:szCs w:val="32"/>
        </w:rPr>
        <w:t>★（二）交货时间、地点和方式</w:t>
      </w:r>
    </w:p>
    <w:p>
      <w:pPr>
        <w:autoSpaceDE w:val="0"/>
        <w:autoSpaceDN w:val="0"/>
        <w:adjustRightInd w:val="0"/>
        <w:spacing w:line="560" w:lineRule="exact"/>
        <w:ind w:firstLine="560" w:firstLineChars="200"/>
        <w:rPr>
          <w:rFonts w:hint="eastAsia" w:ascii="仿宋_GB2312" w:hAnsi="仿宋_GB2312" w:eastAsia="仿宋_GB2312" w:cs="仿宋_GB2312"/>
          <w:bCs/>
          <w:color w:val="000000" w:themeColor="text1"/>
          <w:kern w:val="0"/>
          <w:sz w:val="28"/>
          <w:szCs w:val="28"/>
          <w14:textFill>
            <w14:solidFill>
              <w14:schemeClr w14:val="tx1"/>
            </w14:solidFill>
          </w14:textFill>
        </w:rPr>
      </w:pPr>
      <w:r>
        <w:rPr>
          <w:rFonts w:hint="eastAsia" w:ascii="仿宋_GB2312" w:hAnsi="仿宋_GB2312" w:eastAsia="仿宋_GB2312" w:cs="仿宋_GB2312"/>
          <w:bCs/>
          <w:kern w:val="0"/>
          <w:sz w:val="28"/>
          <w:szCs w:val="28"/>
        </w:rPr>
        <w:t>1.交货时间：合同签订之日起</w:t>
      </w:r>
      <w:r>
        <w:rPr>
          <w:rFonts w:hint="eastAsia" w:ascii="仿宋_GB2312" w:hAnsi="仿宋_GB2312" w:eastAsia="仿宋_GB2312" w:cs="仿宋_GB2312"/>
          <w:bCs/>
          <w:kern w:val="0"/>
          <w:sz w:val="28"/>
          <w:szCs w:val="28"/>
          <w:u w:val="single"/>
        </w:rPr>
        <w:t xml:space="preserve"> 35 </w:t>
      </w:r>
      <w:r>
        <w:rPr>
          <w:rFonts w:hint="eastAsia" w:ascii="仿宋_GB2312" w:hAnsi="仿宋_GB2312" w:eastAsia="仿宋_GB2312" w:cs="仿宋_GB2312"/>
          <w:bCs/>
          <w:kern w:val="0"/>
          <w:sz w:val="28"/>
          <w:szCs w:val="28"/>
        </w:rPr>
        <w:t>天内全部交货。</w:t>
      </w:r>
    </w:p>
    <w:p>
      <w:pPr>
        <w:snapToGrid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2.交货地点：</w:t>
      </w:r>
      <w:r>
        <w:rPr>
          <w:rFonts w:hint="eastAsia" w:ascii="仿宋_GB2312" w:hAnsi="仿宋_GB2312" w:eastAsia="仿宋_GB2312" w:cs="仿宋_GB2312"/>
          <w:bCs/>
          <w:kern w:val="0"/>
          <w:sz w:val="28"/>
          <w:szCs w:val="28"/>
          <w:u w:val="single"/>
        </w:rPr>
        <w:t>采购单位指定地点</w:t>
      </w:r>
      <w:r>
        <w:rPr>
          <w:rFonts w:hint="eastAsia" w:ascii="仿宋_GB2312" w:hAnsi="仿宋_GB2312" w:eastAsia="仿宋_GB2312" w:cs="仿宋_GB2312"/>
          <w:bCs/>
          <w:kern w:val="0"/>
          <w:sz w:val="28"/>
          <w:szCs w:val="28"/>
        </w:rPr>
        <w:t>。</w:t>
      </w:r>
    </w:p>
    <w:p>
      <w:pPr>
        <w:snapToGrid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3.交货方式：</w:t>
      </w:r>
      <w:r>
        <w:rPr>
          <w:rFonts w:hint="eastAsia" w:ascii="仿宋_GB2312" w:hAnsi="仿宋_GB2312" w:eastAsia="仿宋_GB2312" w:cs="仿宋_GB2312"/>
          <w:bCs/>
          <w:kern w:val="0"/>
          <w:sz w:val="28"/>
          <w:szCs w:val="28"/>
          <w:u w:val="single"/>
        </w:rPr>
        <w:t>现场交货</w:t>
      </w:r>
      <w:r>
        <w:rPr>
          <w:rFonts w:hint="eastAsia" w:ascii="仿宋_GB2312" w:hAnsi="仿宋_GB2312" w:eastAsia="仿宋_GB2312" w:cs="仿宋_GB2312"/>
          <w:bCs/>
          <w:kern w:val="0"/>
          <w:sz w:val="28"/>
          <w:szCs w:val="28"/>
        </w:rPr>
        <w:t>。</w:t>
      </w:r>
    </w:p>
    <w:p>
      <w:pPr>
        <w:autoSpaceDE w:val="0"/>
        <w:autoSpaceDN w:val="0"/>
        <w:adjustRightInd w:val="0"/>
        <w:spacing w:line="56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32"/>
        </w:rPr>
        <w:t>★（三）产品包装和运输要求</w:t>
      </w:r>
      <w:r>
        <w:rPr>
          <w:rFonts w:hint="eastAsia" w:ascii="仿宋_GB2312" w:hAnsi="仿宋_GB2312" w:eastAsia="仿宋_GB2312" w:cs="仿宋_GB2312"/>
          <w:bCs/>
          <w:kern w:val="0"/>
          <w:sz w:val="28"/>
          <w:szCs w:val="28"/>
          <w:u w:val="single"/>
        </w:rPr>
        <w:t>包装须符合国家、行业标准，包装体（物）内应附一份详细的装箱单和质量合格证；中标人负责将货物送到采购单位指定地点，运输方式和</w:t>
      </w:r>
      <w:r>
        <w:rPr>
          <w:rFonts w:hint="eastAsia" w:ascii="仿宋_GB2312" w:hAnsi="仿宋_GB2312" w:eastAsia="仿宋_GB2312" w:cs="仿宋_GB2312"/>
          <w:sz w:val="28"/>
          <w:szCs w:val="32"/>
          <w:u w:val="single"/>
        </w:rPr>
        <w:t>相关伴随</w:t>
      </w:r>
      <w:r>
        <w:rPr>
          <w:rFonts w:hint="eastAsia" w:ascii="仿宋_GB2312" w:hAnsi="仿宋_GB2312" w:eastAsia="仿宋_GB2312" w:cs="仿宋_GB2312"/>
          <w:bCs/>
          <w:kern w:val="0"/>
          <w:sz w:val="28"/>
          <w:szCs w:val="28"/>
          <w:u w:val="single"/>
        </w:rPr>
        <w:t xml:space="preserve">费用由中标人确定和承担 </w:t>
      </w:r>
      <w:r>
        <w:rPr>
          <w:rFonts w:hint="eastAsia" w:ascii="仿宋_GB2312" w:hAnsi="仿宋_GB2312" w:eastAsia="仿宋_GB2312" w:cs="仿宋_GB2312"/>
          <w:bCs/>
          <w:kern w:val="0"/>
          <w:sz w:val="28"/>
          <w:szCs w:val="28"/>
        </w:rPr>
        <w:t>。</w:t>
      </w:r>
    </w:p>
    <w:p>
      <w:pPr>
        <w:autoSpaceDE w:val="0"/>
        <w:autoSpaceDN w:val="0"/>
        <w:adjustRightInd w:val="0"/>
        <w:spacing w:line="560" w:lineRule="exact"/>
        <w:ind w:firstLine="562" w:firstLineChars="200"/>
        <w:rPr>
          <w:rFonts w:hint="eastAsia" w:ascii="仿宋_GB2312" w:hAnsi="仿宋_GB2312" w:eastAsia="仿宋_GB2312" w:cs="仿宋_GB2312"/>
          <w:b/>
          <w:sz w:val="28"/>
          <w:szCs w:val="32"/>
        </w:rPr>
      </w:pPr>
      <w:r>
        <w:rPr>
          <w:rFonts w:hint="eastAsia" w:ascii="仿宋_GB2312" w:hAnsi="仿宋_GB2312" w:eastAsia="仿宋_GB2312" w:cs="仿宋_GB2312"/>
          <w:b/>
          <w:sz w:val="28"/>
          <w:szCs w:val="32"/>
        </w:rPr>
        <w:t>★（四）付款方式</w:t>
      </w:r>
    </w:p>
    <w:p>
      <w:pPr>
        <w:snapToGrid w:val="0"/>
        <w:spacing w:line="560" w:lineRule="exact"/>
        <w:ind w:firstLine="560" w:firstLineChars="200"/>
        <w:rPr>
          <w:rFonts w:hint="eastAsia" w:ascii="仿宋_GB2312" w:hAnsi="仿宋_GB2312" w:eastAsia="仿宋_GB2312" w:cs="仿宋_GB2312"/>
          <w:color w:val="000000" w:themeColor="text1"/>
          <w:u w:val="single"/>
          <w:lang w:val="zh-CN"/>
          <w14:textFill>
            <w14:solidFill>
              <w14:schemeClr w14:val="tx1"/>
            </w14:solidFill>
          </w14:textFill>
        </w:rPr>
      </w:pPr>
      <w:r>
        <w:rPr>
          <w:rFonts w:hint="eastAsia" w:ascii="仿宋_GB2312" w:hAnsi="仿宋_GB2312" w:eastAsia="仿宋_GB2312" w:cs="仿宋_GB2312"/>
          <w:bCs/>
          <w:color w:val="000000" w:themeColor="text1"/>
          <w:sz w:val="28"/>
          <w:szCs w:val="28"/>
          <w:lang w:val="zh-CN"/>
          <w14:textFill>
            <w14:solidFill>
              <w14:schemeClr w14:val="tx1"/>
            </w14:solidFill>
          </w14:textFill>
        </w:rPr>
        <w:t>本项目不预付货款，物资运达指定地点验收合格后，中标供应商收集发运接收单、发票、验收报告等</w:t>
      </w:r>
      <w:r>
        <w:rPr>
          <w:rFonts w:hint="eastAsia" w:ascii="仿宋_GB2312" w:hAnsi="仿宋_GB2312" w:eastAsia="仿宋_GB2312" w:cs="仿宋_GB2312"/>
          <w:bCs/>
          <w:color w:val="000000" w:themeColor="text1"/>
          <w:sz w:val="28"/>
          <w:szCs w:val="28"/>
          <w14:textFill>
            <w14:solidFill>
              <w14:schemeClr w14:val="tx1"/>
            </w14:solidFill>
          </w14:textFill>
        </w:rPr>
        <w:t>材料</w:t>
      </w:r>
      <w:r>
        <w:rPr>
          <w:rFonts w:hint="eastAsia" w:ascii="仿宋_GB2312" w:hAnsi="仿宋_GB2312" w:eastAsia="仿宋_GB2312" w:cs="仿宋_GB2312"/>
          <w:bCs/>
          <w:color w:val="000000" w:themeColor="text1"/>
          <w:sz w:val="28"/>
          <w:szCs w:val="28"/>
          <w:lang w:val="zh-CN"/>
          <w14:textFill>
            <w14:solidFill>
              <w14:schemeClr w14:val="tx1"/>
            </w14:solidFill>
          </w14:textFill>
        </w:rPr>
        <w:t>，提交采购单位办理结算手续，采购单位在专项经费全部到位</w:t>
      </w:r>
      <w:r>
        <w:rPr>
          <w:rFonts w:hint="eastAsia" w:ascii="仿宋_GB2312" w:hAnsi="仿宋_GB2312" w:eastAsia="仿宋_GB2312" w:cs="仿宋_GB2312"/>
          <w:bCs/>
          <w:color w:val="000000" w:themeColor="text1"/>
          <w:sz w:val="28"/>
          <w:szCs w:val="28"/>
          <w14:textFill>
            <w14:solidFill>
              <w14:schemeClr w14:val="tx1"/>
            </w14:solidFill>
          </w14:textFill>
        </w:rPr>
        <w:t>后</w:t>
      </w:r>
      <w:r>
        <w:rPr>
          <w:rFonts w:hint="eastAsia" w:ascii="仿宋_GB2312" w:hAnsi="仿宋_GB2312" w:eastAsia="仿宋_GB2312" w:cs="仿宋_GB2312"/>
          <w:bCs/>
          <w:color w:val="000000" w:themeColor="text1"/>
          <w:sz w:val="28"/>
          <w:szCs w:val="28"/>
          <w:u w:val="single"/>
          <w14:textFill>
            <w14:solidFill>
              <w14:schemeClr w14:val="tx1"/>
            </w14:solidFill>
          </w14:textFill>
        </w:rPr>
        <w:t>30</w:t>
      </w:r>
      <w:r>
        <w:rPr>
          <w:rFonts w:hint="eastAsia" w:ascii="仿宋_GB2312" w:hAnsi="仿宋_GB2312" w:eastAsia="仿宋_GB2312" w:cs="仿宋_GB2312"/>
          <w:bCs/>
          <w:color w:val="000000" w:themeColor="text1"/>
          <w:sz w:val="28"/>
          <w:szCs w:val="28"/>
          <w:lang w:val="zh-CN"/>
          <w14:textFill>
            <w14:solidFill>
              <w14:schemeClr w14:val="tx1"/>
            </w14:solidFill>
          </w14:textFill>
        </w:rPr>
        <w:t>日内向中标供应商支付100%货款。</w:t>
      </w:r>
    </w:p>
    <w:p>
      <w:pPr>
        <w:snapToGrid w:val="0"/>
        <w:spacing w:line="560" w:lineRule="exact"/>
        <w:ind w:firstLine="281" w:firstLineChars="100"/>
        <w:rPr>
          <w:rFonts w:hint="eastAsia" w:ascii="仿宋_GB2312" w:hAnsi="仿宋_GB2312" w:eastAsia="仿宋_GB2312" w:cs="仿宋_GB2312"/>
          <w:b/>
          <w:sz w:val="28"/>
          <w:szCs w:val="32"/>
        </w:rPr>
      </w:pPr>
      <w:r>
        <w:rPr>
          <w:rFonts w:hint="eastAsia" w:ascii="仿宋_GB2312" w:hAnsi="仿宋_GB2312" w:eastAsia="仿宋_GB2312" w:cs="仿宋_GB2312"/>
          <w:b/>
          <w:sz w:val="28"/>
          <w:szCs w:val="32"/>
        </w:rPr>
        <w:t>★（五）履约保证金和质量保证金</w:t>
      </w:r>
    </w:p>
    <w:p>
      <w:pPr>
        <w:snapToGrid w:val="0"/>
        <w:spacing w:line="560" w:lineRule="exact"/>
        <w:ind w:firstLine="560" w:firstLineChars="200"/>
        <w:rPr>
          <w:rFonts w:hint="eastAsia" w:ascii="仿宋_GB2312" w:hAnsi="仿宋_GB2312" w:eastAsia="仿宋_GB2312" w:cs="仿宋_GB2312"/>
          <w:szCs w:val="24"/>
          <w:lang w:val="zh-CN"/>
        </w:rPr>
      </w:pPr>
      <w:r>
        <w:rPr>
          <w:rFonts w:hint="eastAsia" w:ascii="仿宋_GB2312" w:hAnsi="仿宋_GB2312" w:eastAsia="仿宋_GB2312" w:cs="仿宋_GB2312"/>
          <w:bCs/>
          <w:snapToGrid w:val="0"/>
          <w:sz w:val="28"/>
          <w:szCs w:val="28"/>
        </w:rPr>
        <w:t>中标供应商签订采购合同前，应当按合同金额的</w:t>
      </w:r>
      <w:r>
        <w:rPr>
          <w:rFonts w:hint="eastAsia" w:ascii="仿宋_GB2312" w:hAnsi="仿宋_GB2312" w:eastAsia="仿宋_GB2312" w:cs="仿宋_GB2312"/>
          <w:bCs/>
          <w:sz w:val="28"/>
          <w:szCs w:val="28"/>
          <w:u w:val="single"/>
        </w:rPr>
        <w:t xml:space="preserve">5 </w:t>
      </w:r>
      <w:r>
        <w:rPr>
          <w:rFonts w:hint="eastAsia" w:ascii="仿宋_GB2312" w:hAnsi="仿宋_GB2312" w:eastAsia="仿宋_GB2312" w:cs="仿宋_GB2312"/>
          <w:bCs/>
          <w:sz w:val="28"/>
          <w:szCs w:val="28"/>
          <w:u w:val="single"/>
          <w:lang w:val="zh-CN"/>
        </w:rPr>
        <w:t>%</w:t>
      </w:r>
      <w:r>
        <w:rPr>
          <w:rFonts w:hint="eastAsia" w:ascii="仿宋_GB2312" w:hAnsi="仿宋_GB2312" w:eastAsia="仿宋_GB2312" w:cs="仿宋_GB2312"/>
          <w:bCs/>
          <w:snapToGrid w:val="0"/>
          <w:sz w:val="28"/>
          <w:szCs w:val="28"/>
        </w:rPr>
        <w:t>向采购单位提交履约保证金，产品验收合格后，转为质量保证金，质量保证金在质保期满且无质量问题时全额无息退还。</w:t>
      </w:r>
    </w:p>
    <w:p>
      <w:pPr>
        <w:tabs>
          <w:tab w:val="left" w:pos="900"/>
        </w:tabs>
        <w:autoSpaceDE w:val="0"/>
        <w:autoSpaceDN w:val="0"/>
        <w:adjustRightInd w:val="0"/>
        <w:spacing w:line="400" w:lineRule="exact"/>
        <w:ind w:firstLine="281" w:firstLineChars="100"/>
        <w:rPr>
          <w:rFonts w:hint="eastAsia" w:ascii="仿宋_GB2312" w:hAnsi="仿宋_GB2312" w:eastAsia="仿宋_GB2312" w:cs="仿宋_GB2312"/>
          <w:sz w:val="28"/>
          <w:szCs w:val="32"/>
        </w:rPr>
      </w:pPr>
      <w:r>
        <w:rPr>
          <w:rFonts w:hint="eastAsia" w:ascii="仿宋_GB2312" w:hAnsi="仿宋_GB2312" w:eastAsia="仿宋_GB2312" w:cs="仿宋_GB2312"/>
          <w:b/>
          <w:sz w:val="28"/>
          <w:szCs w:val="32"/>
        </w:rPr>
        <w:t>★（六）专利权和保密要求</w:t>
      </w:r>
    </w:p>
    <w:p>
      <w:pPr>
        <w:snapToGrid w:val="0"/>
        <w:spacing w:line="560" w:lineRule="exact"/>
        <w:ind w:firstLine="560" w:firstLineChars="200"/>
        <w:rPr>
          <w:rFonts w:hint="eastAsia" w:ascii="仿宋_GB2312" w:hAnsi="仿宋_GB2312" w:eastAsia="仿宋_GB2312" w:cs="仿宋_GB2312"/>
          <w:bCs/>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bCs/>
          <w:color w:val="000000" w:themeColor="text1"/>
          <w:kern w:val="0"/>
          <w:sz w:val="28"/>
          <w:szCs w:val="28"/>
          <w:lang w:val="zh-CN"/>
          <w14:textFill>
            <w14:solidFill>
              <w14:schemeClr w14:val="tx1"/>
            </w14:solidFill>
          </w14:textFill>
        </w:rPr>
        <w:t>投标供应商应当保证采购单位在使用该物资或其任何一部分时，不受第三方侵权指控。同时，投标供应商不得向第三方泄露采购机构提供的技术文件等</w:t>
      </w:r>
      <w:r>
        <w:rPr>
          <w:rFonts w:hint="eastAsia" w:ascii="仿宋_GB2312" w:hAnsi="仿宋_GB2312" w:eastAsia="仿宋_GB2312" w:cs="仿宋_GB2312"/>
          <w:bCs/>
          <w:color w:val="000000" w:themeColor="text1"/>
          <w:kern w:val="0"/>
          <w:sz w:val="28"/>
          <w:szCs w:val="28"/>
          <w14:textFill>
            <w14:solidFill>
              <w14:schemeClr w14:val="tx1"/>
            </w14:solidFill>
          </w14:textFill>
        </w:rPr>
        <w:t>材料</w:t>
      </w:r>
      <w:r>
        <w:rPr>
          <w:rFonts w:hint="eastAsia" w:ascii="仿宋_GB2312" w:hAnsi="仿宋_GB2312" w:eastAsia="仿宋_GB2312" w:cs="仿宋_GB2312"/>
          <w:bCs/>
          <w:color w:val="000000" w:themeColor="text1"/>
          <w:kern w:val="0"/>
          <w:sz w:val="28"/>
          <w:szCs w:val="28"/>
          <w:lang w:val="zh-CN"/>
          <w14:textFill>
            <w14:solidFill>
              <w14:schemeClr w14:val="tx1"/>
            </w14:solidFill>
          </w14:textFill>
        </w:rPr>
        <w:t>。</w:t>
      </w:r>
    </w:p>
    <w:p>
      <w:pPr>
        <w:snapToGrid w:val="0"/>
        <w:spacing w:line="560" w:lineRule="exact"/>
        <w:ind w:firstLine="560" w:firstLineChars="200"/>
        <w:rPr>
          <w:rFonts w:hint="eastAsia" w:ascii="仿宋_GB2312" w:hAnsi="仿宋_GB2312" w:eastAsia="仿宋_GB2312" w:cs="仿宋_GB2312"/>
          <w:bCs/>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bCs/>
          <w:color w:val="000000" w:themeColor="text1"/>
          <w:kern w:val="0"/>
          <w:sz w:val="28"/>
          <w:szCs w:val="28"/>
          <w:lang w:val="zh-CN"/>
          <w14:textFill>
            <w14:solidFill>
              <w14:schemeClr w14:val="tx1"/>
            </w14:solidFill>
          </w14:textFill>
        </w:rPr>
        <w:t>基于项目合同履行形成的知识产权和其他权益，其权属归采购单位所有，法律另有规定的除外。</w:t>
      </w:r>
    </w:p>
    <w:p>
      <w:pPr>
        <w:autoSpaceDE w:val="0"/>
        <w:autoSpaceDN w:val="0"/>
        <w:adjustRightInd w:val="0"/>
        <w:spacing w:line="560" w:lineRule="exact"/>
        <w:ind w:firstLine="562" w:firstLineChars="200"/>
        <w:rPr>
          <w:rFonts w:hint="eastAsia" w:ascii="仿宋_GB2312" w:hAnsi="仿宋_GB2312" w:eastAsia="仿宋_GB2312" w:cs="仿宋_GB2312"/>
          <w:b/>
          <w:sz w:val="28"/>
          <w:szCs w:val="32"/>
        </w:rPr>
      </w:pPr>
      <w:r>
        <w:rPr>
          <w:rFonts w:hint="eastAsia" w:ascii="仿宋_GB2312" w:hAnsi="仿宋_GB2312" w:eastAsia="仿宋_GB2312" w:cs="仿宋_GB2312"/>
          <w:b/>
          <w:sz w:val="28"/>
          <w:szCs w:val="32"/>
        </w:rPr>
        <w:t>（七）</w:t>
      </w:r>
      <w:r>
        <w:rPr>
          <w:rFonts w:hint="eastAsia" w:ascii="仿宋_GB2312" w:hAnsi="仿宋_GB2312" w:eastAsia="仿宋_GB2312" w:cs="仿宋_GB2312"/>
          <w:b/>
          <w:sz w:val="28"/>
          <w:szCs w:val="32"/>
          <w:lang w:val="zh-CN"/>
        </w:rPr>
        <w:t>质量保证及售后服务</w:t>
      </w:r>
    </w:p>
    <w:p>
      <w:pPr>
        <w:tabs>
          <w:tab w:val="left" w:pos="0"/>
        </w:tabs>
        <w:autoSpaceDE w:val="0"/>
        <w:autoSpaceDN w:val="0"/>
        <w:adjustRightInd w:val="0"/>
        <w:snapToGrid w:val="0"/>
        <w:spacing w:line="560" w:lineRule="exact"/>
        <w:ind w:firstLine="281" w:firstLineChars="100"/>
        <w:rPr>
          <w:rFonts w:hint="eastAsia"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
          <w:sz w:val="28"/>
          <w:szCs w:val="32"/>
        </w:rPr>
        <w:t>★</w:t>
      </w:r>
      <w:r>
        <w:rPr>
          <w:rFonts w:hint="eastAsia" w:ascii="仿宋_GB2312" w:hAnsi="仿宋_GB2312" w:eastAsia="仿宋_GB2312" w:cs="仿宋_GB2312"/>
          <w:bCs/>
          <w:color w:val="000000" w:themeColor="text1"/>
          <w:sz w:val="28"/>
          <w:szCs w:val="28"/>
          <w:lang w:val="zh-CN"/>
          <w14:textFill>
            <w14:solidFill>
              <w14:schemeClr w14:val="tx1"/>
            </w14:solidFill>
          </w14:textFill>
        </w:rPr>
        <w:t>1.质量保证期：</w:t>
      </w:r>
      <w:r>
        <w:rPr>
          <w:rFonts w:hint="eastAsia" w:ascii="仿宋_GB2312" w:hAnsi="仿宋_GB2312" w:eastAsia="仿宋_GB2312" w:cs="仿宋_GB2312"/>
          <w:bCs/>
          <w:color w:val="000000" w:themeColor="text1"/>
          <w:sz w:val="28"/>
          <w:szCs w:val="28"/>
          <w14:textFill>
            <w14:solidFill>
              <w14:schemeClr w14:val="tx1"/>
            </w14:solidFill>
          </w14:textFill>
        </w:rPr>
        <w:t>自交货验收完毕之日算起，所有产品质保</w:t>
      </w:r>
      <w:r>
        <w:rPr>
          <w:rFonts w:hint="eastAsia" w:ascii="仿宋_GB2312" w:hAnsi="仿宋_GB2312" w:eastAsia="仿宋_GB2312" w:cs="仿宋_GB2312"/>
          <w:bCs/>
          <w:color w:val="000000" w:themeColor="text1"/>
          <w:sz w:val="28"/>
          <w:szCs w:val="28"/>
          <w:u w:val="single"/>
          <w14:textFill>
            <w14:solidFill>
              <w14:schemeClr w14:val="tx1"/>
            </w14:solidFill>
          </w14:textFill>
        </w:rPr>
        <w:t xml:space="preserve"> 24 </w:t>
      </w:r>
      <w:r>
        <w:rPr>
          <w:rFonts w:hint="eastAsia" w:ascii="仿宋_GB2312" w:hAnsi="仿宋_GB2312" w:eastAsia="仿宋_GB2312" w:cs="仿宋_GB2312"/>
          <w:bCs/>
          <w:color w:val="000000" w:themeColor="text1"/>
          <w:sz w:val="28"/>
          <w:szCs w:val="28"/>
          <w14:textFill>
            <w14:solidFill>
              <w14:schemeClr w14:val="tx1"/>
            </w14:solidFill>
          </w14:textFill>
        </w:rPr>
        <w:t>个月。投标供应商对提供的物资在质保期内，因产品质量而导致的缺陷，应当免费提供包修、包换、包退服务，因此导致的损失采购单位有权向中标供应商追偿。超出质保期后，投标供应商应当提供上门维修服务，仅收取成本费。</w:t>
      </w:r>
    </w:p>
    <w:p>
      <w:pPr>
        <w:snapToGrid w:val="0"/>
        <w:spacing w:line="560" w:lineRule="exact"/>
        <w:ind w:firstLine="560" w:firstLineChars="200"/>
        <w:rPr>
          <w:rFonts w:hint="eastAsia" w:ascii="仿宋_GB2312" w:hAnsi="仿宋_GB2312" w:eastAsia="仿宋_GB2312" w:cs="仿宋_GB2312"/>
          <w:bCs/>
          <w:color w:val="000000" w:themeColor="text1"/>
          <w:sz w:val="28"/>
          <w:szCs w:val="28"/>
          <w:lang w:val="zh-CN"/>
          <w14:textFill>
            <w14:solidFill>
              <w14:schemeClr w14:val="tx1"/>
            </w14:solidFill>
          </w14:textFill>
        </w:rPr>
      </w:pPr>
      <w:r>
        <w:rPr>
          <w:rFonts w:hint="eastAsia" w:ascii="仿宋_GB2312" w:hAnsi="仿宋_GB2312" w:eastAsia="仿宋_GB2312" w:cs="仿宋_GB2312"/>
          <w:bCs/>
          <w:color w:val="000000" w:themeColor="text1"/>
          <w:sz w:val="28"/>
          <w:szCs w:val="28"/>
          <w14:textFill>
            <w14:solidFill>
              <w14:schemeClr w14:val="tx1"/>
            </w14:solidFill>
          </w14:textFill>
        </w:rPr>
        <w:t>2</w:t>
      </w:r>
      <w:r>
        <w:rPr>
          <w:rFonts w:hint="eastAsia" w:ascii="仿宋_GB2312" w:hAnsi="仿宋_GB2312" w:eastAsia="仿宋_GB2312" w:cs="仿宋_GB2312"/>
          <w:bCs/>
          <w:color w:val="000000" w:themeColor="text1"/>
          <w:sz w:val="28"/>
          <w:szCs w:val="28"/>
          <w:lang w:val="zh-CN"/>
          <w14:textFill>
            <w14:solidFill>
              <w14:schemeClr w14:val="tx1"/>
            </w14:solidFill>
          </w14:textFill>
        </w:rPr>
        <w:t>.投标供应商应当承诺，对售后服务需求提供</w:t>
      </w:r>
      <w:r>
        <w:rPr>
          <w:rFonts w:hint="eastAsia" w:ascii="仿宋_GB2312" w:hAnsi="仿宋_GB2312" w:eastAsia="仿宋_GB2312" w:cs="仿宋_GB2312"/>
          <w:bCs/>
          <w:color w:val="000000" w:themeColor="text1"/>
          <w:sz w:val="28"/>
          <w:szCs w:val="28"/>
          <w:u w:val="single"/>
          <w:lang w:val="zh-CN"/>
          <w14:textFill>
            <w14:solidFill>
              <w14:schemeClr w14:val="tx1"/>
            </w14:solidFill>
          </w14:textFill>
        </w:rPr>
        <w:t>2小时</w:t>
      </w:r>
      <w:r>
        <w:rPr>
          <w:rFonts w:hint="eastAsia" w:ascii="仿宋_GB2312" w:hAnsi="仿宋_GB2312" w:eastAsia="仿宋_GB2312" w:cs="仿宋_GB2312"/>
          <w:bCs/>
          <w:color w:val="000000" w:themeColor="text1"/>
          <w:sz w:val="28"/>
          <w:szCs w:val="28"/>
          <w:lang w:val="zh-CN"/>
          <w14:textFill>
            <w14:solidFill>
              <w14:schemeClr w14:val="tx1"/>
            </w14:solidFill>
          </w14:textFill>
        </w:rPr>
        <w:t>电话响应，</w:t>
      </w:r>
      <w:r>
        <w:rPr>
          <w:rFonts w:hint="eastAsia" w:ascii="仿宋_GB2312" w:hAnsi="仿宋_GB2312" w:eastAsia="仿宋_GB2312" w:cs="仿宋_GB2312"/>
          <w:bCs/>
          <w:color w:val="000000" w:themeColor="text1"/>
          <w:sz w:val="28"/>
          <w:szCs w:val="28"/>
          <w:u w:val="single"/>
          <w:lang w:val="zh-CN"/>
          <w14:textFill>
            <w14:solidFill>
              <w14:schemeClr w14:val="tx1"/>
            </w14:solidFill>
          </w14:textFill>
        </w:rPr>
        <w:t>48</w:t>
      </w:r>
      <w:r>
        <w:rPr>
          <w:rFonts w:hint="eastAsia" w:ascii="仿宋_GB2312" w:hAnsi="仿宋_GB2312" w:eastAsia="仿宋_GB2312" w:cs="仿宋_GB2312"/>
          <w:bCs/>
          <w:color w:val="000000" w:themeColor="text1"/>
          <w:sz w:val="28"/>
          <w:szCs w:val="28"/>
          <w:lang w:val="zh-CN"/>
          <w14:textFill>
            <w14:solidFill>
              <w14:schemeClr w14:val="tx1"/>
            </w14:solidFill>
          </w14:textFill>
        </w:rPr>
        <w:t>小时内到达现场实施维修，</w:t>
      </w:r>
      <w:r>
        <w:rPr>
          <w:rFonts w:hint="eastAsia" w:ascii="仿宋_GB2312" w:hAnsi="仿宋_GB2312" w:eastAsia="仿宋_GB2312" w:cs="仿宋_GB2312"/>
          <w:bCs/>
          <w:color w:val="000000" w:themeColor="text1"/>
          <w:sz w:val="28"/>
          <w:szCs w:val="28"/>
          <w:u w:val="single"/>
          <w:lang w:val="zh-CN"/>
          <w14:textFill>
            <w14:solidFill>
              <w14:schemeClr w14:val="tx1"/>
            </w14:solidFill>
          </w14:textFill>
        </w:rPr>
        <w:t>72</w:t>
      </w:r>
      <w:r>
        <w:rPr>
          <w:rFonts w:hint="eastAsia" w:ascii="仿宋_GB2312" w:hAnsi="仿宋_GB2312" w:eastAsia="仿宋_GB2312" w:cs="仿宋_GB2312"/>
          <w:bCs/>
          <w:color w:val="000000" w:themeColor="text1"/>
          <w:sz w:val="28"/>
          <w:szCs w:val="28"/>
          <w:lang w:val="zh-CN"/>
          <w14:textFill>
            <w14:solidFill>
              <w14:schemeClr w14:val="tx1"/>
            </w14:solidFill>
          </w14:textFill>
        </w:rPr>
        <w:t>小时仍未排除故障、恢复正常运转的，由投标供应商提供同类型备品、备件等。</w:t>
      </w:r>
    </w:p>
    <w:p>
      <w:pPr>
        <w:autoSpaceDE w:val="0"/>
        <w:autoSpaceDN w:val="0"/>
        <w:adjustRightInd w:val="0"/>
        <w:spacing w:line="560" w:lineRule="exact"/>
        <w:ind w:firstLine="560" w:firstLineChars="200"/>
        <w:jc w:val="left"/>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3.售后服务网点：投标供应商提报（每个产品均列详细地址及服务热线电话）。</w:t>
      </w:r>
    </w:p>
    <w:bookmarkEnd w:id="2"/>
    <w:p>
      <w:pPr>
        <w:rPr>
          <w:rFonts w:hint="eastAsia" w:ascii="仿宋_GB2312" w:hAnsi="仿宋_GB2312" w:eastAsia="仿宋_GB2312" w:cs="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3553894"/>
    </w:sdtPr>
    <w:sdtContent>
      <w:p>
        <w:pPr>
          <w:pStyle w:val="4"/>
          <w:jc w:val="center"/>
        </w:pPr>
        <w:r>
          <w:fldChar w:fldCharType="begin"/>
        </w:r>
        <w:r>
          <w:instrText xml:space="preserve">PAGE   \* MERGEFORMAT</w:instrText>
        </w:r>
        <w:r>
          <w:fldChar w:fldCharType="separate"/>
        </w:r>
        <w:r>
          <w:rPr>
            <w:lang w:val="zh-CN"/>
          </w:rPr>
          <w:t>5</w:t>
        </w:r>
        <w:r>
          <w:rPr>
            <w:lang w:val="zh-C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2DF"/>
    <w:rsid w:val="000562DF"/>
    <w:rsid w:val="00121A7B"/>
    <w:rsid w:val="004D3728"/>
    <w:rsid w:val="006056B9"/>
    <w:rsid w:val="0066577B"/>
    <w:rsid w:val="00B34227"/>
    <w:rsid w:val="00B5055F"/>
    <w:rsid w:val="00DA6817"/>
    <w:rsid w:val="02AE67E5"/>
    <w:rsid w:val="07F926CB"/>
    <w:rsid w:val="0C1A50A9"/>
    <w:rsid w:val="10A279FA"/>
    <w:rsid w:val="19856022"/>
    <w:rsid w:val="1F0142D0"/>
    <w:rsid w:val="1FCC3C2C"/>
    <w:rsid w:val="2EB711FE"/>
    <w:rsid w:val="2FE37DD1"/>
    <w:rsid w:val="352415ED"/>
    <w:rsid w:val="394869B2"/>
    <w:rsid w:val="3B633C80"/>
    <w:rsid w:val="3D6E3EC9"/>
    <w:rsid w:val="3EB376D3"/>
    <w:rsid w:val="539D7B51"/>
    <w:rsid w:val="57077749"/>
    <w:rsid w:val="5972443C"/>
    <w:rsid w:val="64431B06"/>
    <w:rsid w:val="649E1C01"/>
    <w:rsid w:val="6506581C"/>
    <w:rsid w:val="6C262F44"/>
    <w:rsid w:val="70A2290F"/>
    <w:rsid w:val="73567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b/>
      <w:bCs/>
      <w:kern w:val="0"/>
      <w:sz w:val="36"/>
      <w:szCs w:val="36"/>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8">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Normal (Web)"/>
    <w:basedOn w:val="1"/>
    <w:semiHidden/>
    <w:unhideWhenUsed/>
    <w:qFormat/>
    <w:uiPriority w:val="99"/>
    <w:pPr>
      <w:spacing w:beforeAutospacing="1" w:afterAutospacing="1"/>
      <w:jc w:val="left"/>
    </w:pPr>
    <w:rPr>
      <w:kern w:val="0"/>
      <w:sz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99"/>
    <w:rPr>
      <w:rFonts w:cs="Times New Roman"/>
    </w:rPr>
  </w:style>
  <w:style w:type="character" w:customStyle="1" w:styleId="10">
    <w:name w:val="页脚 Char"/>
    <w:basedOn w:val="8"/>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403</Words>
  <Characters>2299</Characters>
  <Lines>19</Lines>
  <Paragraphs>5</Paragraphs>
  <TotalTime>1</TotalTime>
  <ScaleCrop>false</ScaleCrop>
  <LinksUpToDate>false</LinksUpToDate>
  <CharactersWithSpaces>2697</CharactersWithSpaces>
  <Application>WPS Office_11.1.0.10943_F1E327BC-269C-435d-A152-05C5408002CA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2026-08-19T02:45:00Z</dcterms:created>
  <dc:creator>admin</dc:creator>
  <cp:lastModifiedBy>18146</cp:lastModifiedBy>
  <cp:lastPrinted>2026-08-20T06:05:00Z</cp:lastPrinted>
  <dcterms:modified xsi:type="dcterms:W3CDTF">2026-10-13T08:49:26Z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2052-11.1.0.10943</vt:lpwstr>
  </property>
  <property fmtid="{D5CDD505-2E9C-101B-9397-08002B2CF9AE}" pid="3" name="KSOTemplateDocerSaveRecord">
    <vt:lpwstr>eyJoZGlkIjoiNGRhYzdiNDIxMWQ5ZGM2ZDAwOGFkMDYwNjIwZTFlMjYiLCJ1c2VySWQiOiI1ODkzNzAzMzcifQ==</vt:lpwstr>
  </property>
  <property fmtid="{D5CDD505-2E9C-101B-9397-08002B2CF9AE}" pid="4" name="ICV">
    <vt:lpwstr>4D5069FBBD5B4F10A903194D6906CC9F_12</vt:lpwstr>
  </property>
</Properties>
</file>