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DB7072">
      <w:pPr>
        <w:snapToGrid w:val="0"/>
        <w:spacing w:before="312" w:beforeLines="100" w:after="312" w:afterLines="100"/>
        <w:jc w:val="both"/>
        <w:rPr>
          <w:rFonts w:hint="default" w:ascii="方正小标宋简体" w:eastAsia="方正小标宋简体"/>
          <w:bCs/>
          <w:sz w:val="32"/>
          <w:szCs w:val="40"/>
          <w:lang w:val="en-US" w:eastAsia="zh-CN"/>
        </w:rPr>
      </w:pPr>
      <w:r>
        <w:rPr>
          <w:rFonts w:hint="eastAsia" w:ascii="方正小标宋简体" w:eastAsia="方正小标宋简体"/>
          <w:bCs/>
          <w:sz w:val="32"/>
          <w:szCs w:val="40"/>
          <w:lang w:val="en-US" w:eastAsia="zh-CN"/>
        </w:rPr>
        <w:t>附件</w:t>
      </w:r>
      <w:bookmarkStart w:id="0" w:name="_GoBack"/>
      <w:bookmarkEnd w:id="0"/>
    </w:p>
    <w:p w14:paraId="1ECF150D">
      <w:pPr>
        <w:snapToGrid w:val="0"/>
        <w:spacing w:before="312" w:beforeLines="100" w:after="312" w:afterLines="100"/>
        <w:jc w:val="center"/>
        <w:rPr>
          <w:rFonts w:hint="eastAsia" w:ascii="方正小标宋简体" w:hAnsi="华文中宋" w:eastAsia="方正小标宋简体"/>
          <w:b/>
          <w:bCs/>
          <w:sz w:val="44"/>
          <w:szCs w:val="44"/>
        </w:rPr>
      </w:pPr>
      <w:r>
        <w:rPr>
          <w:rFonts w:hint="eastAsia" w:ascii="方正小标宋简体" w:eastAsia="方正小标宋简体"/>
          <w:bCs/>
          <w:sz w:val="36"/>
          <w:szCs w:val="44"/>
        </w:rPr>
        <w:t>采购技术指标及配置需求表</w:t>
      </w:r>
    </w:p>
    <w:tbl>
      <w:tblPr>
        <w:tblStyle w:val="4"/>
        <w:tblW w:w="9982"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826"/>
        <w:gridCol w:w="8156"/>
      </w:tblGrid>
      <w:tr w14:paraId="4C495B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1" w:hRule="atLeast"/>
          <w:jc w:val="center"/>
        </w:trPr>
        <w:tc>
          <w:tcPr>
            <w:tcW w:w="1826" w:type="dxa"/>
            <w:tcBorders>
              <w:top w:val="single" w:color="auto" w:sz="12" w:space="0"/>
              <w:left w:val="single" w:color="auto" w:sz="12" w:space="0"/>
              <w:bottom w:val="single" w:color="auto" w:sz="6" w:space="0"/>
              <w:right w:val="single" w:color="auto" w:sz="6" w:space="0"/>
            </w:tcBorders>
            <w:vAlign w:val="center"/>
          </w:tcPr>
          <w:p w14:paraId="58702B85">
            <w:pPr>
              <w:snapToGrid w:val="0"/>
              <w:jc w:val="center"/>
              <w:rPr>
                <w:rFonts w:ascii="Times New Roman" w:eastAsia="仿宋_GB2312"/>
                <w:sz w:val="28"/>
              </w:rPr>
            </w:pPr>
            <w:r>
              <w:rPr>
                <w:rFonts w:hint="eastAsia" w:ascii="Times New Roman" w:eastAsia="仿宋_GB2312"/>
                <w:sz w:val="28"/>
              </w:rPr>
              <w:t>技术服务</w:t>
            </w:r>
          </w:p>
          <w:p w14:paraId="0DA608E7">
            <w:pPr>
              <w:snapToGrid w:val="0"/>
              <w:jc w:val="center"/>
              <w:rPr>
                <w:rFonts w:ascii="黑体" w:eastAsia="黑体"/>
                <w:kern w:val="2"/>
                <w:sz w:val="24"/>
                <w:szCs w:val="24"/>
              </w:rPr>
            </w:pPr>
            <w:r>
              <w:rPr>
                <w:rFonts w:hint="eastAsia" w:ascii="Times New Roman" w:eastAsia="仿宋_GB2312"/>
                <w:sz w:val="28"/>
              </w:rPr>
              <w:t>名称</w:t>
            </w:r>
          </w:p>
        </w:tc>
        <w:tc>
          <w:tcPr>
            <w:tcW w:w="8156" w:type="dxa"/>
            <w:tcBorders>
              <w:top w:val="single" w:color="auto" w:sz="12" w:space="0"/>
              <w:left w:val="single" w:color="auto" w:sz="6" w:space="0"/>
              <w:bottom w:val="single" w:color="auto" w:sz="6" w:space="0"/>
              <w:right w:val="single" w:color="auto" w:sz="12" w:space="0"/>
            </w:tcBorders>
            <w:vAlign w:val="center"/>
          </w:tcPr>
          <w:p w14:paraId="32C73B9D">
            <w:pPr>
              <w:spacing w:line="480" w:lineRule="exact"/>
              <w:rPr>
                <w:rFonts w:eastAsia="仿宋_GB2312"/>
              </w:rPr>
            </w:pPr>
            <w:r>
              <w:rPr>
                <w:rFonts w:ascii="Times New Roman" w:eastAsia="仿宋_GB2312"/>
                <w:sz w:val="28"/>
              </w:rPr>
              <w:t>GPAS数据港平台网页开发</w:t>
            </w:r>
          </w:p>
        </w:tc>
      </w:tr>
      <w:tr w14:paraId="1DA6E0C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33" w:hRule="atLeast"/>
          <w:jc w:val="center"/>
        </w:trPr>
        <w:tc>
          <w:tcPr>
            <w:tcW w:w="1826" w:type="dxa"/>
            <w:tcBorders>
              <w:top w:val="single" w:color="auto" w:sz="6" w:space="0"/>
              <w:left w:val="single" w:color="auto" w:sz="12" w:space="0"/>
              <w:bottom w:val="single" w:color="auto" w:sz="6" w:space="0"/>
              <w:right w:val="single" w:color="auto" w:sz="6" w:space="0"/>
            </w:tcBorders>
            <w:vAlign w:val="center"/>
          </w:tcPr>
          <w:p w14:paraId="53A7E971">
            <w:pPr>
              <w:jc w:val="center"/>
              <w:rPr>
                <w:rFonts w:ascii="黑体" w:eastAsia="黑体"/>
                <w:kern w:val="2"/>
                <w:sz w:val="24"/>
                <w:szCs w:val="24"/>
              </w:rPr>
            </w:pPr>
            <w:r>
              <w:rPr>
                <w:rFonts w:hint="eastAsia" w:ascii="Times New Roman" w:eastAsia="仿宋_GB2312"/>
                <w:sz w:val="28"/>
              </w:rPr>
              <w:t>技术指标</w:t>
            </w:r>
          </w:p>
        </w:tc>
        <w:tc>
          <w:tcPr>
            <w:tcW w:w="8156" w:type="dxa"/>
            <w:tcBorders>
              <w:top w:val="single" w:color="auto" w:sz="6" w:space="0"/>
              <w:left w:val="single" w:color="auto" w:sz="6" w:space="0"/>
              <w:bottom w:val="single" w:color="auto" w:sz="6" w:space="0"/>
              <w:right w:val="single" w:color="auto" w:sz="12" w:space="0"/>
            </w:tcBorders>
          </w:tcPr>
          <w:p w14:paraId="5B627894">
            <w:pPr>
              <w:snapToGrid w:val="0"/>
              <w:spacing w:before="93" w:beforeLines="30" w:line="360" w:lineRule="auto"/>
              <w:rPr>
                <w:rFonts w:eastAsia="仿宋_GB2312"/>
              </w:rPr>
            </w:pPr>
            <w:r>
              <w:rPr>
                <w:rFonts w:ascii="Times New Roman" w:eastAsia="仿宋_GB2312"/>
                <w:sz w:val="28"/>
              </w:rPr>
              <w:t>★</w:t>
            </w:r>
            <w:r>
              <w:rPr>
                <w:rFonts w:hint="eastAsia" w:ascii="Times New Roman" w:eastAsia="仿宋_GB2312"/>
                <w:sz w:val="28"/>
              </w:rPr>
              <w:t xml:space="preserve"> </w:t>
            </w:r>
            <w:r>
              <w:rPr>
                <w:rFonts w:ascii="Times New Roman" w:eastAsia="仿宋_GB2312"/>
                <w:sz w:val="28"/>
              </w:rPr>
              <w:t>1. 支持</w:t>
            </w:r>
            <w:r>
              <w:rPr>
                <w:rFonts w:hint="eastAsia" w:ascii="Times New Roman" w:eastAsia="仿宋_GB2312"/>
                <w:sz w:val="28"/>
              </w:rPr>
              <w:t>生物领域</w:t>
            </w:r>
            <w:r>
              <w:rPr>
                <w:rFonts w:ascii="Times New Roman" w:eastAsia="仿宋_GB2312"/>
                <w:sz w:val="28"/>
              </w:rPr>
              <w:t>多级团队用户进行</w:t>
            </w:r>
            <w:r>
              <w:rPr>
                <w:rFonts w:hint="eastAsia" w:ascii="Times New Roman" w:eastAsia="仿宋_GB2312"/>
                <w:sz w:val="28"/>
              </w:rPr>
              <w:t>高通量</w:t>
            </w:r>
            <w:r>
              <w:rPr>
                <w:rFonts w:ascii="Times New Roman" w:eastAsia="仿宋_GB2312"/>
                <w:sz w:val="28"/>
              </w:rPr>
              <w:t>样本数据提交、信息维护、分析任务管理和结果查看。</w:t>
            </w:r>
            <w:r>
              <w:rPr>
                <w:rFonts w:hint="eastAsia" w:ascii="Times New Roman" w:eastAsia="仿宋_GB2312"/>
                <w:sz w:val="28"/>
              </w:rPr>
              <w:t>系统可以支持100T以上数据治理。</w:t>
            </w:r>
          </w:p>
          <w:p w14:paraId="7DACB250">
            <w:pPr>
              <w:snapToGrid w:val="0"/>
              <w:spacing w:before="93" w:beforeLines="30" w:line="360" w:lineRule="auto"/>
            </w:pPr>
            <w:r>
              <w:rPr>
                <w:rFonts w:ascii="Times New Roman" w:eastAsia="仿宋_GB2312"/>
                <w:sz w:val="28"/>
              </w:rPr>
              <w:t>★</w:t>
            </w:r>
            <w:r>
              <w:rPr>
                <w:rFonts w:hint="eastAsia" w:ascii="Times New Roman" w:eastAsia="仿宋_GB2312"/>
                <w:sz w:val="28"/>
              </w:rPr>
              <w:t xml:space="preserve"> </w:t>
            </w:r>
            <w:r>
              <w:rPr>
                <w:rFonts w:ascii="Times New Roman" w:eastAsia="仿宋_GB2312"/>
                <w:sz w:val="28"/>
              </w:rPr>
              <w:t>2. 支持20GB以上大文件稳定</w:t>
            </w:r>
            <w:r>
              <w:rPr>
                <w:rFonts w:hint="eastAsia" w:ascii="Times New Roman" w:eastAsia="仿宋_GB2312"/>
                <w:sz w:val="28"/>
              </w:rPr>
              <w:t>并发</w:t>
            </w:r>
            <w:r>
              <w:rPr>
                <w:rFonts w:ascii="Times New Roman" w:eastAsia="仿宋_GB2312"/>
                <w:sz w:val="28"/>
              </w:rPr>
              <w:t>上传，具备上传任务创建、上传进度跟踪、上传状态管理和异常处理能力。支持一次性选择多个文件加入上传队列，能够自动识别单端样本和双端样本，并按识别结果对队列中文件进行上传、状态展示和失败处理。</w:t>
            </w:r>
          </w:p>
          <w:p w14:paraId="20EDA53A">
            <w:pPr>
              <w:snapToGrid w:val="0"/>
              <w:spacing w:before="93" w:beforeLines="30" w:line="360" w:lineRule="auto"/>
            </w:pPr>
            <w:r>
              <w:rPr>
                <w:rFonts w:ascii="Times New Roman" w:eastAsia="仿宋_GB2312"/>
                <w:sz w:val="28"/>
              </w:rPr>
              <w:t>*</w:t>
            </w:r>
            <w:r>
              <w:rPr>
                <w:rFonts w:hint="eastAsia" w:ascii="Times New Roman" w:eastAsia="仿宋_GB2312"/>
                <w:sz w:val="28"/>
              </w:rPr>
              <w:t xml:space="preserve"> 3</w:t>
            </w:r>
            <w:r>
              <w:rPr>
                <w:rFonts w:ascii="Times New Roman" w:eastAsia="仿宋_GB2312"/>
                <w:sz w:val="28"/>
              </w:rPr>
              <w:t>. 支持网页上传、FTP上传等多种数据提交方式。</w:t>
            </w:r>
          </w:p>
          <w:p w14:paraId="733EB8F0">
            <w:pPr>
              <w:snapToGrid w:val="0"/>
              <w:spacing w:before="93" w:beforeLines="30" w:line="360" w:lineRule="auto"/>
            </w:pPr>
            <w:r>
              <w:rPr>
                <w:rFonts w:hint="eastAsia" w:ascii="Times New Roman" w:eastAsia="仿宋_GB2312"/>
                <w:sz w:val="28"/>
              </w:rPr>
              <w:t>4</w:t>
            </w:r>
            <w:r>
              <w:rPr>
                <w:rFonts w:ascii="Times New Roman" w:eastAsia="仿宋_GB2312"/>
                <w:sz w:val="28"/>
              </w:rPr>
              <w:t>. 支持常见测序样本文件上传，能够对上传文件进行文件名、文件类型、大小、完整性等基础校验。支持样本元信息填写、校验、绑定、冲突处理和历史追踪。</w:t>
            </w:r>
          </w:p>
          <w:p w14:paraId="1CE4A29F">
            <w:pPr>
              <w:snapToGrid w:val="0"/>
              <w:spacing w:before="93" w:beforeLines="30" w:line="360" w:lineRule="auto"/>
            </w:pPr>
            <w:r>
              <w:rPr>
                <w:rFonts w:ascii="Times New Roman" w:eastAsia="仿宋_GB2312"/>
                <w:sz w:val="28"/>
              </w:rPr>
              <w:t>*</w:t>
            </w:r>
            <w:r>
              <w:rPr>
                <w:rFonts w:hint="eastAsia" w:ascii="Times New Roman" w:eastAsia="仿宋_GB2312"/>
                <w:sz w:val="28"/>
              </w:rPr>
              <w:t xml:space="preserve"> 5</w:t>
            </w:r>
            <w:r>
              <w:rPr>
                <w:rFonts w:ascii="Times New Roman" w:eastAsia="仿宋_GB2312"/>
                <w:sz w:val="28"/>
              </w:rPr>
              <w:t>. 支持分析任务提交、分析状态同步、分析结果查看和结果报告访问。支持对分析结果进行聚合展示、统计汇总和信息提取，满足后续二次分析和综合利用需求。支持按团队、项目、研究、样本类型、时间、数据量等维度进行查询、统计和展示。</w:t>
            </w:r>
          </w:p>
          <w:p w14:paraId="69F9BD30">
            <w:pPr>
              <w:snapToGrid w:val="0"/>
              <w:spacing w:before="93" w:beforeLines="30" w:line="360" w:lineRule="auto"/>
            </w:pPr>
            <w:r>
              <w:rPr>
                <w:rFonts w:hint="eastAsia" w:ascii="Times New Roman" w:eastAsia="仿宋_GB2312"/>
                <w:sz w:val="28"/>
              </w:rPr>
              <w:t>6</w:t>
            </w:r>
            <w:r>
              <w:rPr>
                <w:rFonts w:ascii="Times New Roman" w:eastAsia="仿宋_GB2312"/>
                <w:sz w:val="28"/>
              </w:rPr>
              <w:t>. 支持用户管理、团队管理、项目管理、研究管理、样本类型管理和权限控制。</w:t>
            </w:r>
          </w:p>
          <w:p w14:paraId="74D7BA8C">
            <w:pPr>
              <w:snapToGrid w:val="0"/>
              <w:spacing w:before="93" w:beforeLines="30" w:line="360" w:lineRule="auto"/>
            </w:pPr>
            <w:r>
              <w:rPr>
                <w:rFonts w:hint="eastAsia" w:ascii="Times New Roman" w:eastAsia="仿宋_GB2312"/>
                <w:sz w:val="28"/>
              </w:rPr>
              <w:t>7</w:t>
            </w:r>
            <w:r>
              <w:rPr>
                <w:rFonts w:ascii="Times New Roman" w:eastAsia="仿宋_GB2312"/>
                <w:sz w:val="28"/>
              </w:rPr>
              <w:t>. 支持系统日志、操作记录、上传记录、分析状态记录等留存，便于审计、追踪和问题排查。</w:t>
            </w:r>
          </w:p>
          <w:p w14:paraId="79AD0EA3">
            <w:pPr>
              <w:snapToGrid w:val="0"/>
              <w:spacing w:before="93" w:beforeLines="30" w:line="360" w:lineRule="auto"/>
            </w:pPr>
            <w:r>
              <w:rPr>
                <w:rFonts w:ascii="Times New Roman" w:eastAsia="仿宋_GB2312"/>
                <w:sz w:val="28"/>
              </w:rPr>
              <w:t>*</w:t>
            </w:r>
            <w:r>
              <w:rPr>
                <w:rFonts w:hint="eastAsia" w:ascii="Times New Roman" w:eastAsia="仿宋_GB2312"/>
                <w:sz w:val="28"/>
              </w:rPr>
              <w:t xml:space="preserve"> 8</w:t>
            </w:r>
            <w:r>
              <w:rPr>
                <w:rFonts w:ascii="Times New Roman" w:eastAsia="仿宋_GB2312"/>
                <w:sz w:val="28"/>
              </w:rPr>
              <w:t>. 具备有效的网络安全防护机制，支持身份认证、访问控制、输入校验、文件校验、异常监控等安全措施。 能够抵御常见外部攻击，降低非法访问、恶意上传、越权访问、数据篡改和服务异常中断风险。</w:t>
            </w:r>
          </w:p>
          <w:p w14:paraId="7CD7AB0D">
            <w:pPr>
              <w:snapToGrid w:val="0"/>
              <w:spacing w:before="93" w:beforeLines="30" w:line="360" w:lineRule="auto"/>
              <w:rPr>
                <w:rFonts w:ascii="Times New Roman" w:eastAsia="仿宋_GB2312"/>
                <w:sz w:val="28"/>
              </w:rPr>
            </w:pPr>
            <w:r>
              <w:rPr>
                <w:rFonts w:hint="eastAsia" w:ascii="Times New Roman" w:eastAsia="仿宋_GB2312"/>
                <w:sz w:val="28"/>
              </w:rPr>
              <w:t>9</w:t>
            </w:r>
            <w:r>
              <w:rPr>
                <w:rFonts w:ascii="Times New Roman" w:eastAsia="仿宋_GB2312"/>
                <w:sz w:val="28"/>
              </w:rPr>
              <w:t>. 支持数据备份机制，能够对业务数据库、上传文件、分析结果文件和系统配置进行定期备份，并支持故障恢复。</w:t>
            </w:r>
          </w:p>
          <w:p w14:paraId="55BA4357">
            <w:pPr>
              <w:snapToGrid w:val="0"/>
              <w:spacing w:before="93" w:beforeLines="30" w:line="360" w:lineRule="auto"/>
              <w:rPr>
                <w:rFonts w:ascii="Times New Roman" w:eastAsia="仿宋_GB2312"/>
                <w:sz w:val="28"/>
              </w:rPr>
            </w:pPr>
            <w:r>
              <w:rPr>
                <w:rFonts w:ascii="Times New Roman" w:eastAsia="仿宋_GB2312"/>
                <w:sz w:val="28"/>
              </w:rPr>
              <w:t>*</w:t>
            </w:r>
            <w:r>
              <w:rPr>
                <w:rFonts w:hint="eastAsia" w:ascii="Times New Roman" w:eastAsia="仿宋_GB2312"/>
                <w:sz w:val="28"/>
              </w:rPr>
              <w:t xml:space="preserve"> 10. 支持高通量生物数据跨团队安全可信共享功能。</w:t>
            </w:r>
          </w:p>
          <w:p w14:paraId="073FE3D3">
            <w:pPr>
              <w:snapToGrid w:val="0"/>
              <w:spacing w:before="93" w:beforeLines="30" w:line="360" w:lineRule="auto"/>
              <w:rPr>
                <w:rFonts w:ascii="Times New Roman" w:eastAsia="仿宋_GB2312"/>
                <w:sz w:val="28"/>
              </w:rPr>
            </w:pPr>
            <w:r>
              <w:rPr>
                <w:rFonts w:ascii="Times New Roman" w:eastAsia="仿宋_GB2312"/>
                <w:sz w:val="28"/>
              </w:rPr>
              <w:t>*</w:t>
            </w:r>
            <w:r>
              <w:rPr>
                <w:rFonts w:hint="eastAsia" w:ascii="Times New Roman" w:eastAsia="仿宋_GB2312"/>
                <w:sz w:val="28"/>
              </w:rPr>
              <w:t xml:space="preserve"> 11. 对接并支持基于硬盘数据直接内部上传到国家相关数据中心后端系统通道与接口</w:t>
            </w:r>
          </w:p>
          <w:p w14:paraId="091B82CF">
            <w:pPr>
              <w:numPr>
                <w:ilvl w:val="0"/>
                <w:numId w:val="1"/>
              </w:numPr>
              <w:snapToGrid w:val="0"/>
              <w:spacing w:before="93" w:beforeLines="30" w:line="360" w:lineRule="auto"/>
              <w:rPr>
                <w:rFonts w:ascii="Times New Roman" w:eastAsia="仿宋_GB2312"/>
                <w:sz w:val="28"/>
              </w:rPr>
            </w:pPr>
            <w:r>
              <w:rPr>
                <w:rFonts w:hint="eastAsia" w:ascii="Times New Roman" w:eastAsia="仿宋_GB2312"/>
                <w:sz w:val="28"/>
              </w:rPr>
              <w:t>支持医学元数据加密，支持秘钥管理系统用于管控数据加密秘钥</w:t>
            </w:r>
          </w:p>
          <w:p w14:paraId="7EB4808F">
            <w:pPr>
              <w:numPr>
                <w:ilvl w:val="0"/>
                <w:numId w:val="1"/>
              </w:numPr>
              <w:snapToGrid w:val="0"/>
              <w:spacing w:before="93" w:beforeLines="30" w:line="360" w:lineRule="auto"/>
              <w:rPr>
                <w:rFonts w:ascii="Times New Roman" w:eastAsia="仿宋_GB2312"/>
                <w:sz w:val="28"/>
              </w:rPr>
            </w:pPr>
            <w:r>
              <w:rPr>
                <w:rFonts w:hint="eastAsia" w:ascii="Times New Roman" w:eastAsia="仿宋_GB2312"/>
                <w:sz w:val="28"/>
              </w:rPr>
              <w:t>支持基于医学数据规则对上传医学数据进行质量校验</w:t>
            </w:r>
          </w:p>
          <w:p w14:paraId="265869BF">
            <w:pPr>
              <w:snapToGrid w:val="0"/>
              <w:spacing w:before="93" w:beforeLines="30" w:line="360" w:lineRule="auto"/>
              <w:rPr>
                <w:rFonts w:ascii="Times New Roman" w:eastAsia="仿宋_GB2312"/>
                <w:sz w:val="28"/>
              </w:rPr>
            </w:pPr>
            <w:r>
              <w:rPr>
                <w:rFonts w:ascii="Times New Roman" w:eastAsia="仿宋_GB2312"/>
                <w:sz w:val="28"/>
              </w:rPr>
              <w:t>*</w:t>
            </w:r>
            <w:r>
              <w:rPr>
                <w:rFonts w:hint="eastAsia" w:ascii="Times New Roman" w:eastAsia="仿宋_GB2312"/>
                <w:sz w:val="28"/>
              </w:rPr>
              <w:t xml:space="preserve"> 16、支持基于机密计算技术的生物数据全生命周期可信安全，保障生物医学数据全生命周期密态安全。需支持三种芯片架构（国产C86、ARM、X86) 机密计算能力。投标方需提供有机密计算内存加密技术能力的证明材料。</w:t>
            </w:r>
          </w:p>
          <w:p w14:paraId="1A237295">
            <w:pPr>
              <w:snapToGrid w:val="0"/>
              <w:spacing w:before="93" w:beforeLines="30" w:line="360" w:lineRule="auto"/>
              <w:rPr>
                <w:rFonts w:ascii="Times New Roman" w:eastAsia="仿宋_GB2312"/>
                <w:sz w:val="28"/>
              </w:rPr>
            </w:pPr>
            <w:r>
              <w:rPr>
                <w:rFonts w:ascii="Times New Roman" w:eastAsia="仿宋_GB2312"/>
                <w:sz w:val="28"/>
              </w:rPr>
              <w:t>*</w:t>
            </w:r>
            <w:r>
              <w:rPr>
                <w:rFonts w:hint="eastAsia" w:ascii="Times New Roman" w:eastAsia="仿宋_GB2312"/>
                <w:sz w:val="28"/>
              </w:rPr>
              <w:t xml:space="preserve"> 17、基于大模型流程管理框架搭建智能体模块，支持基于生物医学大模型的数据智能分析。搭建基于大语言模型的智能体、知识库及AI工作流支持生物、医疗研究领域相关分析应用。</w:t>
            </w:r>
          </w:p>
          <w:p w14:paraId="128EE96D">
            <w:pPr>
              <w:snapToGrid w:val="0"/>
              <w:spacing w:before="93" w:beforeLines="30" w:line="360" w:lineRule="auto"/>
              <w:rPr>
                <w:rFonts w:ascii="Times New Roman" w:eastAsia="仿宋_GB2312"/>
                <w:sz w:val="28"/>
              </w:rPr>
            </w:pPr>
            <w:r>
              <w:rPr>
                <w:rFonts w:hint="eastAsia" w:ascii="Times New Roman" w:eastAsia="仿宋_GB2312"/>
                <w:sz w:val="28"/>
              </w:rPr>
              <w:t>18、支持至少3年运维与服务</w:t>
            </w:r>
          </w:p>
        </w:tc>
      </w:tr>
      <w:tr w14:paraId="70DBC1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38" w:hRule="atLeast"/>
          <w:jc w:val="center"/>
        </w:trPr>
        <w:tc>
          <w:tcPr>
            <w:tcW w:w="1826" w:type="dxa"/>
            <w:tcBorders>
              <w:top w:val="single" w:color="auto" w:sz="6" w:space="0"/>
              <w:left w:val="single" w:color="auto" w:sz="12" w:space="0"/>
              <w:bottom w:val="single" w:color="auto" w:sz="6" w:space="0"/>
              <w:right w:val="single" w:color="auto" w:sz="6" w:space="0"/>
            </w:tcBorders>
            <w:vAlign w:val="center"/>
          </w:tcPr>
          <w:p w14:paraId="58EAD4F6">
            <w:pPr>
              <w:jc w:val="center"/>
              <w:rPr>
                <w:rFonts w:ascii="黑体" w:eastAsia="黑体"/>
                <w:kern w:val="2"/>
                <w:sz w:val="24"/>
                <w:szCs w:val="24"/>
              </w:rPr>
            </w:pPr>
            <w:r>
              <w:rPr>
                <w:rFonts w:hint="eastAsia" w:ascii="Times New Roman" w:eastAsia="仿宋_GB2312"/>
                <w:sz w:val="28"/>
              </w:rPr>
              <w:t>配置要求</w:t>
            </w:r>
          </w:p>
        </w:tc>
        <w:tc>
          <w:tcPr>
            <w:tcW w:w="8156" w:type="dxa"/>
            <w:tcBorders>
              <w:top w:val="single" w:color="auto" w:sz="6" w:space="0"/>
              <w:left w:val="single" w:color="auto" w:sz="6" w:space="0"/>
              <w:bottom w:val="single" w:color="auto" w:sz="6" w:space="0"/>
              <w:right w:val="single" w:color="auto" w:sz="12" w:space="0"/>
            </w:tcBorders>
          </w:tcPr>
          <w:p w14:paraId="576B02FF">
            <w:pPr>
              <w:snapToGrid w:val="0"/>
              <w:rPr>
                <w:rFonts w:ascii="Times New Roman" w:eastAsia="仿宋_GB2312"/>
                <w:sz w:val="28"/>
              </w:rPr>
            </w:pPr>
            <w:r>
              <w:rPr>
                <w:rFonts w:hint="eastAsia" w:ascii="Times New Roman" w:eastAsia="仿宋_GB2312"/>
                <w:sz w:val="28"/>
              </w:rPr>
              <w:t>网页开发服务一套，至少包括：</w:t>
            </w:r>
          </w:p>
          <w:p w14:paraId="58BD610E">
            <w:pPr>
              <w:pStyle w:val="8"/>
              <w:numPr>
                <w:ilvl w:val="0"/>
                <w:numId w:val="2"/>
              </w:numPr>
              <w:snapToGrid w:val="0"/>
              <w:ind w:firstLineChars="0"/>
              <w:rPr>
                <w:rFonts w:ascii="Times New Roman" w:eastAsia="仿宋_GB2312"/>
                <w:sz w:val="28"/>
              </w:rPr>
            </w:pPr>
            <w:r>
              <w:rPr>
                <w:rFonts w:ascii="Times New Roman" w:eastAsia="仿宋_GB2312"/>
                <w:sz w:val="28"/>
              </w:rPr>
              <w:t>业务平台：大文件上传、样本分析任务管理、结果查询和统计汇总。</w:t>
            </w:r>
          </w:p>
          <w:p w14:paraId="74414BCC">
            <w:pPr>
              <w:numPr>
                <w:ilvl w:val="0"/>
                <w:numId w:val="2"/>
              </w:numPr>
              <w:snapToGrid w:val="0"/>
              <w:rPr>
                <w:rFonts w:ascii="Times New Roman" w:eastAsia="仿宋_GB2312"/>
                <w:sz w:val="28"/>
              </w:rPr>
            </w:pPr>
            <w:r>
              <w:rPr>
                <w:rFonts w:ascii="Times New Roman" w:eastAsia="仿宋_GB2312"/>
                <w:sz w:val="28"/>
              </w:rPr>
              <w:t>存储：数据库、文件、应用分层部署，支持资源扩展。</w:t>
            </w:r>
          </w:p>
          <w:p w14:paraId="0805B8AA">
            <w:pPr>
              <w:numPr>
                <w:ilvl w:val="0"/>
                <w:numId w:val="2"/>
              </w:numPr>
              <w:snapToGrid w:val="0"/>
              <w:rPr>
                <w:rFonts w:ascii="Times New Roman" w:eastAsia="仿宋_GB2312"/>
                <w:sz w:val="28"/>
              </w:rPr>
            </w:pPr>
            <w:r>
              <w:rPr>
                <w:rFonts w:ascii="Times New Roman" w:eastAsia="仿宋_GB2312"/>
                <w:sz w:val="28"/>
              </w:rPr>
              <w:t>安全可信共享：跨团队数据共享、使用与记录。</w:t>
            </w:r>
          </w:p>
          <w:p w14:paraId="5E8A066E">
            <w:pPr>
              <w:numPr>
                <w:ilvl w:val="0"/>
                <w:numId w:val="2"/>
              </w:numPr>
              <w:snapToGrid w:val="0"/>
              <w:rPr>
                <w:rFonts w:ascii="Times New Roman" w:eastAsia="仿宋_GB2312"/>
                <w:sz w:val="28"/>
              </w:rPr>
            </w:pPr>
            <w:r>
              <w:rPr>
                <w:rFonts w:ascii="Times New Roman" w:eastAsia="仿宋_GB2312"/>
                <w:sz w:val="28"/>
              </w:rPr>
              <w:t>安全：芯片级机密计算、安全访问、日志、备份恢复、容量及运行监控。</w:t>
            </w:r>
          </w:p>
          <w:p w14:paraId="03651808">
            <w:pPr>
              <w:numPr>
                <w:ilvl w:val="0"/>
                <w:numId w:val="2"/>
              </w:numPr>
              <w:snapToGrid w:val="0"/>
              <w:rPr>
                <w:rFonts w:ascii="Times New Roman" w:eastAsia="仿宋_GB2312"/>
                <w:sz w:val="28"/>
              </w:rPr>
            </w:pPr>
            <w:r>
              <w:rPr>
                <w:rFonts w:ascii="Times New Roman" w:eastAsia="仿宋_GB2312"/>
                <w:sz w:val="28"/>
              </w:rPr>
              <w:t>可信智能：智能体、知识库，支持基于生物医学大模型的分析。</w:t>
            </w:r>
          </w:p>
        </w:tc>
      </w:tr>
      <w:tr w14:paraId="513AC9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33" w:hRule="atLeast"/>
          <w:jc w:val="center"/>
        </w:trPr>
        <w:tc>
          <w:tcPr>
            <w:tcW w:w="1826" w:type="dxa"/>
            <w:tcBorders>
              <w:top w:val="single" w:color="auto" w:sz="6" w:space="0"/>
              <w:left w:val="single" w:color="auto" w:sz="12" w:space="0"/>
              <w:bottom w:val="single" w:color="auto" w:sz="12" w:space="0"/>
              <w:right w:val="single" w:color="auto" w:sz="6" w:space="0"/>
            </w:tcBorders>
            <w:vAlign w:val="center"/>
          </w:tcPr>
          <w:p w14:paraId="7628DD6C">
            <w:pPr>
              <w:jc w:val="center"/>
              <w:rPr>
                <w:rFonts w:ascii="黑体" w:eastAsia="黑体"/>
                <w:kern w:val="2"/>
                <w:sz w:val="24"/>
                <w:szCs w:val="24"/>
              </w:rPr>
            </w:pPr>
            <w:r>
              <w:rPr>
                <w:rFonts w:hint="eastAsia" w:ascii="Times New Roman" w:eastAsia="仿宋_GB2312"/>
                <w:sz w:val="28"/>
              </w:rPr>
              <w:t>备注</w:t>
            </w:r>
          </w:p>
        </w:tc>
        <w:tc>
          <w:tcPr>
            <w:tcW w:w="8156" w:type="dxa"/>
            <w:tcBorders>
              <w:top w:val="single" w:color="auto" w:sz="6" w:space="0"/>
              <w:left w:val="single" w:color="auto" w:sz="6" w:space="0"/>
              <w:bottom w:val="single" w:color="auto" w:sz="12" w:space="0"/>
              <w:right w:val="single" w:color="auto" w:sz="12" w:space="0"/>
            </w:tcBorders>
          </w:tcPr>
          <w:p w14:paraId="30F01AD0">
            <w:pPr>
              <w:spacing w:line="480" w:lineRule="exact"/>
            </w:pPr>
          </w:p>
        </w:tc>
      </w:tr>
    </w:tbl>
    <w:p w14:paraId="4CA970DA">
      <w:pPr>
        <w:spacing w:before="156" w:beforeLines="50"/>
        <w:ind w:left="-384" w:leftChars="-192" w:firstLine="1117" w:firstLineChars="399"/>
        <w:rPr>
          <w:rFonts w:ascii="Times New Roman" w:eastAsia="楷体_GB2312"/>
          <w:kern w:val="2"/>
          <w:sz w:val="28"/>
        </w:rPr>
      </w:pPr>
      <w:r>
        <w:rPr>
          <w:rFonts w:hint="eastAsia" w:ascii="Times New Roman" w:eastAsia="仿宋_GB2312"/>
          <w:sz w:val="28"/>
        </w:rPr>
        <w:t xml:space="preserve">                                  </w:t>
      </w: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Courier New">
    <w:panose1 w:val="02070309020205020404"/>
    <w:charset w:val="00"/>
    <w:family w:val="modern"/>
    <w:pitch w:val="default"/>
    <w:sig w:usb0="E0002EFF" w:usb1="C0007843" w:usb2="00000009" w:usb3="00000000" w:csb0="400001FF" w:csb1="FFFF0000"/>
  </w:font>
  <w:font w:name="楷体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A11BEA"/>
    <w:multiLevelType w:val="singleLevel"/>
    <w:tmpl w:val="06A11BEA"/>
    <w:lvl w:ilvl="0" w:tentative="0">
      <w:start w:val="14"/>
      <w:numFmt w:val="decimal"/>
      <w:suff w:val="nothing"/>
      <w:lvlText w:val="%1、"/>
      <w:lvlJc w:val="left"/>
    </w:lvl>
  </w:abstractNum>
  <w:abstractNum w:abstractNumId="1">
    <w:nsid w:val="13501997"/>
    <w:multiLevelType w:val="multilevel"/>
    <w:tmpl w:val="13501997"/>
    <w:lvl w:ilvl="0" w:tentative="0">
      <w:start w:val="1"/>
      <w:numFmt w:val="decimal"/>
      <w:lvlText w:val="%1、"/>
      <w:lvlJc w:val="left"/>
      <w:pPr>
        <w:tabs>
          <w:tab w:val="left" w:pos="720"/>
        </w:tabs>
        <w:ind w:left="720" w:hanging="360"/>
      </w:pPr>
      <w:rPr>
        <w:rFonts w:ascii="Times New Roman" w:hAnsi="Times New Roman" w:eastAsia="仿宋_GB2312" w:cs="Times New Roman"/>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4DCC"/>
    <w:rsid w:val="00057810"/>
    <w:rsid w:val="000C0F85"/>
    <w:rsid w:val="000C10D9"/>
    <w:rsid w:val="00142EE6"/>
    <w:rsid w:val="003B5B64"/>
    <w:rsid w:val="004D05AF"/>
    <w:rsid w:val="004D4DCC"/>
    <w:rsid w:val="00606487"/>
    <w:rsid w:val="00775129"/>
    <w:rsid w:val="00887E69"/>
    <w:rsid w:val="00C06D94"/>
    <w:rsid w:val="00C713A6"/>
    <w:rsid w:val="00D97FC4"/>
    <w:rsid w:val="00E75B26"/>
    <w:rsid w:val="00EC3295"/>
    <w:rsid w:val="00FA5055"/>
    <w:rsid w:val="0ABE0019"/>
    <w:rsid w:val="0ADC375E"/>
    <w:rsid w:val="13A838DE"/>
    <w:rsid w:val="14A22342"/>
    <w:rsid w:val="2472601F"/>
    <w:rsid w:val="26B35D92"/>
    <w:rsid w:val="26D92385"/>
    <w:rsid w:val="28A70C6A"/>
    <w:rsid w:val="32747A3A"/>
    <w:rsid w:val="3D0657A9"/>
    <w:rsid w:val="3D0870C9"/>
    <w:rsid w:val="3DDE41F5"/>
    <w:rsid w:val="4B5A435F"/>
    <w:rsid w:val="4EE51018"/>
    <w:rsid w:val="5A6C6DB5"/>
    <w:rsid w:val="67112E9A"/>
    <w:rsid w:val="743B50B2"/>
    <w:rsid w:val="76EB2186"/>
    <w:rsid w:val="795202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adjustRightInd w:val="0"/>
    </w:pPr>
    <w:rPr>
      <w:rFonts w:ascii="宋体" w:hAnsi="Times New Roman" w:eastAsia="宋体" w:cs="Times New Roman"/>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autoSpaceDE/>
      <w:autoSpaceDN/>
      <w:adjustRightInd/>
      <w:snapToGrid w:val="0"/>
    </w:pPr>
    <w:rPr>
      <w:rFonts w:asciiTheme="minorHAnsi" w:hAnsiTheme="minorHAnsi" w:eastAsiaTheme="minorEastAsia" w:cstheme="minorBidi"/>
      <w:kern w:val="2"/>
      <w:sz w:val="18"/>
      <w:szCs w:val="18"/>
    </w:rPr>
  </w:style>
  <w:style w:type="paragraph" w:styleId="3">
    <w:name w:val="header"/>
    <w:basedOn w:val="1"/>
    <w:link w:val="6"/>
    <w:unhideWhenUsed/>
    <w:qFormat/>
    <w:uiPriority w:val="99"/>
    <w:pPr>
      <w:pBdr>
        <w:bottom w:val="single" w:color="auto" w:sz="6" w:space="1"/>
      </w:pBdr>
      <w:tabs>
        <w:tab w:val="center" w:pos="4153"/>
        <w:tab w:val="right" w:pos="8306"/>
      </w:tabs>
      <w:autoSpaceDE/>
      <w:autoSpaceDN/>
      <w:adjustRightInd/>
      <w:snapToGrid w:val="0"/>
      <w:jc w:val="center"/>
    </w:pPr>
    <w:rPr>
      <w:rFonts w:asciiTheme="minorHAnsi" w:hAnsiTheme="minorHAnsi" w:eastAsiaTheme="minorEastAsia" w:cstheme="minorBidi"/>
      <w:kern w:val="2"/>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 w:type="paragraph" w:styleId="8">
    <w:name w:val="List Paragraph"/>
    <w:basedOn w:val="1"/>
    <w:qFormat/>
    <w:uiPriority w:val="99"/>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1115</Words>
  <Characters>1150</Characters>
  <Lines>31</Lines>
  <Paragraphs>32</Paragraphs>
  <TotalTime>10</TotalTime>
  <ScaleCrop>false</ScaleCrop>
  <LinksUpToDate>false</LinksUpToDate>
  <CharactersWithSpaces>1207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2026-09-08T04:46:00Z</dcterms:created>
  <dc:creator>Windows 用户</dc:creator>
  <cp:lastModifiedBy>晨晨墨染¹⁴¹³¹⁹</cp:lastModifiedBy>
  <dcterms:modified xsi:type="dcterms:W3CDTF">2026-10-12T01:36:07Z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eyJoZGlkIjoiNjY0MzgyYmNiMTQyMjMyMmFiODg4MWM2ODhmYTFiNDIiLCJ1c2VySWQiOiI0NDY1ODc3NDAifQ==</vt:lpwstr>
  </property>
  <property fmtid="{D5CDD505-2E9C-101B-9397-08002B2CF9AE}" pid="3" name="KSOProductBuildVer">
    <vt:lpwstr>2052-12.1.0.28505</vt:lpwstr>
  </property>
  <property fmtid="{D5CDD505-2E9C-101B-9397-08002B2CF9AE}" pid="4" name="ICV">
    <vt:lpwstr>6EBEA53ADD0644498B06E9340EF5581B_13</vt:lpwstr>
  </property>
</Properties>
</file>